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E7" w:rsidRPr="00F40EE7" w:rsidRDefault="00F40EE7" w:rsidP="00BF65A7">
      <w:pPr>
        <w:pStyle w:val="Heading1"/>
        <w:spacing w:before="0" w:line="240" w:lineRule="auto"/>
        <w:jc w:val="center"/>
        <w:rPr>
          <w:rFonts w:ascii="Arial" w:hAnsi="Arial" w:cs="Arial"/>
          <w:b/>
          <w:color w:val="auto"/>
          <w:sz w:val="28"/>
          <w:szCs w:val="28"/>
        </w:rPr>
      </w:pPr>
      <w:r w:rsidRPr="00F40EE7">
        <w:rPr>
          <w:rFonts w:ascii="Arial" w:hAnsi="Arial" w:cs="Arial"/>
          <w:b/>
          <w:color w:val="auto"/>
          <w:sz w:val="28"/>
          <w:szCs w:val="28"/>
        </w:rPr>
        <w:t>IMPROVING DIFFERENT PARAMETERS OF TRANSFORMER OIL FROM PAKISTAN NATIONAL REFINERY LIMITED</w:t>
      </w:r>
    </w:p>
    <w:p w:rsidR="00F40EE7" w:rsidRPr="00F40EE7" w:rsidRDefault="00F40EE7" w:rsidP="00696681">
      <w:pPr>
        <w:spacing w:after="0"/>
        <w:jc w:val="center"/>
        <w:rPr>
          <w:rFonts w:ascii="Times New Roman" w:hAnsi="Times New Roman" w:cs="Times New Roman"/>
          <w:b/>
          <w:sz w:val="20"/>
          <w:szCs w:val="20"/>
          <w:vertAlign w:val="superscript"/>
        </w:rPr>
      </w:pPr>
      <w:r w:rsidRPr="00F40EE7">
        <w:rPr>
          <w:rFonts w:ascii="Times New Roman" w:hAnsi="Times New Roman" w:cs="Times New Roman"/>
          <w:b/>
          <w:sz w:val="20"/>
          <w:szCs w:val="20"/>
          <w:vertAlign w:val="superscript"/>
        </w:rPr>
        <w:t>1</w:t>
      </w:r>
      <w:r w:rsidRPr="00F40EE7">
        <w:rPr>
          <w:rFonts w:ascii="Times New Roman" w:hAnsi="Times New Roman" w:cs="Times New Roman"/>
          <w:b/>
          <w:sz w:val="20"/>
          <w:szCs w:val="20"/>
        </w:rPr>
        <w:t>Syed Wajid Hussain,</w:t>
      </w:r>
      <w:r w:rsidR="0009210E" w:rsidRPr="0009210E">
        <w:rPr>
          <w:rFonts w:ascii="Times New Roman" w:hAnsi="Times New Roman" w:cs="Times New Roman"/>
          <w:b/>
          <w:sz w:val="20"/>
          <w:szCs w:val="20"/>
          <w:vertAlign w:val="superscript"/>
        </w:rPr>
        <w:t xml:space="preserve"> </w:t>
      </w:r>
      <w:r w:rsidR="0009210E" w:rsidRPr="000D572B">
        <w:rPr>
          <w:rFonts w:ascii="Times New Roman" w:hAnsi="Times New Roman" w:cs="Times New Roman"/>
          <w:b/>
          <w:sz w:val="20"/>
          <w:szCs w:val="20"/>
          <w:vertAlign w:val="superscript"/>
        </w:rPr>
        <w:t>1*</w:t>
      </w:r>
      <w:r w:rsidR="0009210E" w:rsidRPr="000D572B">
        <w:rPr>
          <w:rFonts w:ascii="Times New Roman" w:hAnsi="Times New Roman" w:cs="Times New Roman"/>
          <w:b/>
          <w:sz w:val="20"/>
          <w:szCs w:val="20"/>
        </w:rPr>
        <w:t>Amtul</w:t>
      </w:r>
      <w:r w:rsidR="0009210E" w:rsidRPr="00F40EE7">
        <w:rPr>
          <w:rFonts w:ascii="Times New Roman" w:hAnsi="Times New Roman" w:cs="Times New Roman"/>
          <w:b/>
          <w:sz w:val="20"/>
          <w:szCs w:val="20"/>
        </w:rPr>
        <w:t xml:space="preserve"> Qayoom</w:t>
      </w:r>
      <w:r w:rsidR="0009210E">
        <w:rPr>
          <w:rFonts w:ascii="Times New Roman" w:hAnsi="Times New Roman" w:cs="Times New Roman"/>
          <w:b/>
          <w:sz w:val="20"/>
          <w:szCs w:val="20"/>
        </w:rPr>
        <w:t>,</w:t>
      </w:r>
      <w:r w:rsidRPr="00F40EE7">
        <w:rPr>
          <w:rFonts w:ascii="Times New Roman" w:hAnsi="Times New Roman" w:cs="Times New Roman"/>
          <w:b/>
          <w:sz w:val="20"/>
          <w:szCs w:val="20"/>
          <w:vertAlign w:val="superscript"/>
        </w:rPr>
        <w:t xml:space="preserve"> 2</w:t>
      </w:r>
      <w:r w:rsidRPr="00F40EE7">
        <w:rPr>
          <w:rFonts w:ascii="Times New Roman" w:hAnsi="Times New Roman" w:cs="Times New Roman"/>
          <w:b/>
          <w:sz w:val="20"/>
          <w:szCs w:val="20"/>
        </w:rPr>
        <w:t xml:space="preserve"> Syed Tariq Ali, and </w:t>
      </w:r>
      <w:r w:rsidRPr="00F40EE7">
        <w:rPr>
          <w:rFonts w:ascii="Times New Roman" w:hAnsi="Times New Roman" w:cs="Times New Roman"/>
          <w:b/>
          <w:sz w:val="20"/>
          <w:szCs w:val="20"/>
          <w:vertAlign w:val="superscript"/>
        </w:rPr>
        <w:t>1</w:t>
      </w:r>
      <w:r w:rsidRPr="00F40EE7">
        <w:rPr>
          <w:rFonts w:ascii="Times New Roman" w:hAnsi="Times New Roman" w:cs="Times New Roman"/>
          <w:b/>
          <w:sz w:val="20"/>
          <w:szCs w:val="20"/>
        </w:rPr>
        <w:t xml:space="preserve">Ghazanfar Hussain </w:t>
      </w:r>
    </w:p>
    <w:p w:rsidR="00F40EE7" w:rsidRPr="00AC093A" w:rsidRDefault="00F40EE7" w:rsidP="00AC093A">
      <w:pPr>
        <w:spacing w:after="0" w:line="240" w:lineRule="auto"/>
        <w:jc w:val="center"/>
        <w:rPr>
          <w:rFonts w:ascii="Times New Roman" w:hAnsi="Times New Roman" w:cs="Times New Roman"/>
          <w:iCs/>
          <w:sz w:val="18"/>
          <w:szCs w:val="18"/>
        </w:rPr>
      </w:pPr>
      <w:r w:rsidRPr="00AC093A">
        <w:rPr>
          <w:rFonts w:ascii="Times New Roman" w:hAnsi="Times New Roman" w:cs="Times New Roman"/>
          <w:iCs/>
          <w:sz w:val="18"/>
          <w:szCs w:val="18"/>
          <w:vertAlign w:val="superscript"/>
        </w:rPr>
        <w:t>1</w:t>
      </w:r>
      <w:r w:rsidR="000D572B" w:rsidRPr="00AC093A">
        <w:rPr>
          <w:rFonts w:ascii="Times New Roman" w:hAnsi="Times New Roman" w:cs="Times New Roman"/>
          <w:iCs/>
          <w:sz w:val="18"/>
          <w:szCs w:val="18"/>
        </w:rPr>
        <w:t>Departmen</w:t>
      </w:r>
      <w:r w:rsidR="0009210E" w:rsidRPr="00AC093A">
        <w:rPr>
          <w:rFonts w:ascii="Times New Roman" w:hAnsi="Times New Roman" w:cs="Times New Roman"/>
          <w:iCs/>
          <w:sz w:val="18"/>
          <w:szCs w:val="18"/>
        </w:rPr>
        <w:t xml:space="preserve"> </w:t>
      </w:r>
      <w:r w:rsidR="000D572B" w:rsidRPr="00AC093A">
        <w:rPr>
          <w:rFonts w:ascii="Times New Roman" w:hAnsi="Times New Roman" w:cs="Times New Roman"/>
          <w:iCs/>
          <w:sz w:val="18"/>
          <w:szCs w:val="18"/>
        </w:rPr>
        <w:t>of Chemistry</w:t>
      </w:r>
      <w:r w:rsidRPr="00AC093A">
        <w:rPr>
          <w:rFonts w:ascii="Times New Roman" w:hAnsi="Times New Roman" w:cs="Times New Roman"/>
          <w:iCs/>
          <w:sz w:val="18"/>
          <w:szCs w:val="18"/>
        </w:rPr>
        <w:t>, NED University of Engineering and Technology, Karachi, Pakistan</w:t>
      </w:r>
    </w:p>
    <w:p w:rsidR="000D572B" w:rsidRPr="00AC093A" w:rsidRDefault="000D572B" w:rsidP="00AC093A">
      <w:pPr>
        <w:spacing w:after="0" w:line="240" w:lineRule="auto"/>
        <w:jc w:val="center"/>
        <w:rPr>
          <w:rFonts w:ascii="Times New Roman" w:hAnsi="Times New Roman" w:cs="Times New Roman"/>
          <w:iCs/>
          <w:sz w:val="18"/>
          <w:szCs w:val="18"/>
        </w:rPr>
      </w:pPr>
      <w:r w:rsidRPr="00AC093A">
        <w:rPr>
          <w:rFonts w:ascii="Times New Roman" w:hAnsi="Times New Roman" w:cs="Times New Roman"/>
          <w:iCs/>
          <w:sz w:val="18"/>
          <w:szCs w:val="18"/>
          <w:vertAlign w:val="superscript"/>
        </w:rPr>
        <w:t>2</w:t>
      </w:r>
      <w:r w:rsidRPr="00AC093A">
        <w:rPr>
          <w:rFonts w:ascii="Times New Roman" w:hAnsi="Times New Roman" w:cs="Times New Roman"/>
          <w:iCs/>
          <w:sz w:val="18"/>
          <w:szCs w:val="18"/>
        </w:rPr>
        <w:t>Department of Chemistry, University of Karachi, Karachi, Pakistan</w:t>
      </w:r>
    </w:p>
    <w:p w:rsidR="000D572B" w:rsidRPr="00AC093A" w:rsidRDefault="000D572B" w:rsidP="00AC093A">
      <w:pPr>
        <w:spacing w:after="0" w:line="240" w:lineRule="auto"/>
        <w:jc w:val="center"/>
        <w:rPr>
          <w:rFonts w:ascii="Times New Roman" w:hAnsi="Times New Roman" w:cs="Times New Roman"/>
          <w:iCs/>
          <w:sz w:val="18"/>
          <w:szCs w:val="18"/>
        </w:rPr>
      </w:pPr>
      <w:r w:rsidRPr="00AC093A">
        <w:rPr>
          <w:rFonts w:ascii="Times New Roman" w:hAnsi="Times New Roman" w:cs="Times New Roman"/>
          <w:iCs/>
          <w:sz w:val="18"/>
          <w:szCs w:val="18"/>
        </w:rPr>
        <w:t xml:space="preserve">Corresponding author: </w:t>
      </w:r>
      <w:hyperlink r:id="rId9" w:history="1">
        <w:r w:rsidR="007659A2" w:rsidRPr="00AC093A">
          <w:rPr>
            <w:rStyle w:val="Hyperlink"/>
            <w:rFonts w:ascii="Times New Roman" w:hAnsi="Times New Roman" w:cs="Times New Roman"/>
            <w:iCs/>
          </w:rPr>
          <w:t>amtulq@neduet.edu.com</w:t>
        </w:r>
      </w:hyperlink>
    </w:p>
    <w:p w:rsidR="00265075" w:rsidRPr="00AC093A" w:rsidRDefault="00AC093A" w:rsidP="00696681">
      <w:pPr>
        <w:spacing w:after="0" w:line="240" w:lineRule="auto"/>
        <w:jc w:val="both"/>
        <w:rPr>
          <w:rFonts w:ascii="Times New Roman" w:hAnsi="Times New Roman" w:cs="Times New Roman"/>
          <w:bCs/>
          <w:i/>
          <w:sz w:val="20"/>
          <w:szCs w:val="20"/>
          <w:shd w:val="clear" w:color="auto" w:fill="FFFFFF"/>
        </w:rPr>
      </w:pPr>
      <w:r w:rsidRPr="00AC093A">
        <w:rPr>
          <w:rFonts w:ascii="Times New Roman" w:hAnsi="Times New Roman" w:cs="Times New Roman"/>
          <w:b/>
          <w:bCs/>
          <w:i/>
          <w:sz w:val="20"/>
          <w:szCs w:val="20"/>
        </w:rPr>
        <w:t>ABSTRACT</w:t>
      </w:r>
      <w:r w:rsidRPr="00AC093A">
        <w:rPr>
          <w:rFonts w:ascii="Times New Roman" w:hAnsi="Times New Roman" w:cs="Times New Roman"/>
          <w:i/>
          <w:sz w:val="20"/>
          <w:szCs w:val="20"/>
        </w:rPr>
        <w:t xml:space="preserve">: </w:t>
      </w:r>
      <w:r w:rsidR="00265075" w:rsidRPr="00AC093A">
        <w:rPr>
          <w:rFonts w:ascii="Times New Roman" w:hAnsi="Times New Roman" w:cs="Times New Roman"/>
          <w:i/>
          <w:sz w:val="20"/>
          <w:szCs w:val="20"/>
        </w:rPr>
        <w:t xml:space="preserve">The aim of this study is to improve the quality of selected Group I base oil by chemical treatment and study the impact of treatment on their </w:t>
      </w:r>
      <w:r w:rsidR="00F92A4E" w:rsidRPr="00AC093A">
        <w:rPr>
          <w:rFonts w:ascii="Times New Roman" w:hAnsi="Times New Roman" w:cs="Times New Roman"/>
          <w:i/>
          <w:sz w:val="20"/>
          <w:szCs w:val="20"/>
        </w:rPr>
        <w:t>various</w:t>
      </w:r>
      <w:r w:rsidR="00265075" w:rsidRPr="00AC093A">
        <w:rPr>
          <w:rFonts w:ascii="Times New Roman" w:hAnsi="Times New Roman" w:cs="Times New Roman"/>
          <w:i/>
          <w:sz w:val="20"/>
          <w:szCs w:val="20"/>
        </w:rPr>
        <w:t xml:space="preserve"> parameters. Hence, the </w:t>
      </w:r>
      <w:r w:rsidR="00F92A4E" w:rsidRPr="00AC093A">
        <w:rPr>
          <w:rFonts w:ascii="Times New Roman" w:hAnsi="Times New Roman" w:cs="Times New Roman"/>
          <w:i/>
          <w:sz w:val="20"/>
          <w:szCs w:val="20"/>
        </w:rPr>
        <w:t xml:space="preserve">different samples of </w:t>
      </w:r>
      <w:r w:rsidR="00265075" w:rsidRPr="00AC093A">
        <w:rPr>
          <w:rFonts w:ascii="Times New Roman" w:hAnsi="Times New Roman" w:cs="Times New Roman"/>
          <w:i/>
          <w:sz w:val="20"/>
          <w:szCs w:val="20"/>
        </w:rPr>
        <w:t xml:space="preserve">base oil </w:t>
      </w:r>
      <w:r w:rsidR="00F92A4E" w:rsidRPr="00AC093A">
        <w:rPr>
          <w:rFonts w:ascii="Times New Roman" w:hAnsi="Times New Roman" w:cs="Times New Roman"/>
          <w:i/>
          <w:sz w:val="20"/>
          <w:szCs w:val="20"/>
        </w:rPr>
        <w:t xml:space="preserve">I </w:t>
      </w:r>
      <w:r w:rsidR="00265075" w:rsidRPr="00AC093A">
        <w:rPr>
          <w:rFonts w:ascii="Times New Roman" w:hAnsi="Times New Roman" w:cs="Times New Roman"/>
          <w:i/>
          <w:sz w:val="20"/>
          <w:szCs w:val="20"/>
        </w:rPr>
        <w:t xml:space="preserve">were treated with </w:t>
      </w:r>
      <w:r w:rsidR="00F92A4E" w:rsidRPr="00AC093A">
        <w:rPr>
          <w:rFonts w:ascii="Times New Roman" w:hAnsi="Times New Roman" w:cs="Times New Roman"/>
          <w:i/>
          <w:sz w:val="20"/>
          <w:szCs w:val="20"/>
        </w:rPr>
        <w:t xml:space="preserve">concentrated </w:t>
      </w:r>
      <w:r w:rsidR="007659A2" w:rsidRPr="00AC093A">
        <w:rPr>
          <w:rFonts w:ascii="Times New Roman" w:hAnsi="Times New Roman" w:cs="Times New Roman"/>
          <w:i/>
          <w:sz w:val="20"/>
          <w:szCs w:val="20"/>
        </w:rPr>
        <w:t>s</w:t>
      </w:r>
      <w:r w:rsidR="00B10512" w:rsidRPr="00AC093A">
        <w:rPr>
          <w:rFonts w:ascii="Times New Roman" w:hAnsi="Times New Roman" w:cs="Times New Roman"/>
          <w:i/>
          <w:sz w:val="20"/>
          <w:szCs w:val="20"/>
        </w:rPr>
        <w:t>ulphuric</w:t>
      </w:r>
      <w:r w:rsidR="00265075" w:rsidRPr="00AC093A">
        <w:rPr>
          <w:rFonts w:ascii="Times New Roman" w:hAnsi="Times New Roman" w:cs="Times New Roman"/>
          <w:i/>
          <w:sz w:val="20"/>
          <w:szCs w:val="20"/>
        </w:rPr>
        <w:t xml:space="preserve"> a</w:t>
      </w:r>
      <w:r w:rsidR="00265075" w:rsidRPr="00AC093A">
        <w:rPr>
          <w:rFonts w:ascii="Times New Roman" w:hAnsi="Times New Roman" w:cs="Times New Roman"/>
          <w:bCs/>
          <w:i/>
          <w:sz w:val="20"/>
          <w:szCs w:val="20"/>
          <w:shd w:val="clear" w:color="auto" w:fill="FFFFFF"/>
        </w:rPr>
        <w:t>cid to remove moisture and easily oxidizable compounds followed by bleaching with earth clay. Selected electrical</w:t>
      </w:r>
      <w:r w:rsidR="00F92A4E" w:rsidRPr="00AC093A">
        <w:rPr>
          <w:rFonts w:ascii="Times New Roman" w:hAnsi="Times New Roman" w:cs="Times New Roman"/>
          <w:bCs/>
          <w:i/>
          <w:sz w:val="20"/>
          <w:szCs w:val="20"/>
          <w:shd w:val="clear" w:color="auto" w:fill="FFFFFF"/>
        </w:rPr>
        <w:t>, chemical</w:t>
      </w:r>
      <w:r w:rsidR="00265075" w:rsidRPr="00AC093A">
        <w:rPr>
          <w:rFonts w:ascii="Times New Roman" w:hAnsi="Times New Roman" w:cs="Times New Roman"/>
          <w:bCs/>
          <w:i/>
          <w:sz w:val="20"/>
          <w:szCs w:val="20"/>
          <w:shd w:val="clear" w:color="auto" w:fill="FFFFFF"/>
        </w:rPr>
        <w:t xml:space="preserve"> and physical</w:t>
      </w:r>
      <w:r w:rsidR="00F92A4E" w:rsidRPr="00AC093A">
        <w:rPr>
          <w:rFonts w:ascii="Times New Roman" w:hAnsi="Times New Roman" w:cs="Times New Roman"/>
          <w:bCs/>
          <w:i/>
          <w:sz w:val="20"/>
          <w:szCs w:val="20"/>
          <w:shd w:val="clear" w:color="auto" w:fill="FFFFFF"/>
        </w:rPr>
        <w:t xml:space="preserve"> properties </w:t>
      </w:r>
      <w:r w:rsidR="00265075" w:rsidRPr="00AC093A">
        <w:rPr>
          <w:rFonts w:ascii="Times New Roman" w:hAnsi="Times New Roman" w:cs="Times New Roman"/>
          <w:bCs/>
          <w:i/>
          <w:sz w:val="20"/>
          <w:szCs w:val="20"/>
          <w:shd w:val="clear" w:color="auto" w:fill="FFFFFF"/>
        </w:rPr>
        <w:t>were meas</w:t>
      </w:r>
      <w:r w:rsidR="006E235A" w:rsidRPr="00AC093A">
        <w:rPr>
          <w:rFonts w:ascii="Times New Roman" w:hAnsi="Times New Roman" w:cs="Times New Roman"/>
          <w:bCs/>
          <w:i/>
          <w:sz w:val="20"/>
          <w:szCs w:val="20"/>
          <w:shd w:val="clear" w:color="auto" w:fill="FFFFFF"/>
        </w:rPr>
        <w:softHyphen/>
      </w:r>
      <w:r w:rsidR="00265075" w:rsidRPr="00AC093A">
        <w:rPr>
          <w:rFonts w:ascii="Times New Roman" w:hAnsi="Times New Roman" w:cs="Times New Roman"/>
          <w:bCs/>
          <w:i/>
          <w:sz w:val="20"/>
          <w:szCs w:val="20"/>
          <w:shd w:val="clear" w:color="auto" w:fill="FFFFFF"/>
        </w:rPr>
        <w:t xml:space="preserve">ured before and after acid/clay treatment. Initial tests indicated that the use of acid and earth clay treatment of the Group I </w:t>
      </w:r>
      <w:r w:rsidR="007659A2" w:rsidRPr="00AC093A">
        <w:rPr>
          <w:rFonts w:ascii="Times New Roman" w:hAnsi="Times New Roman" w:cs="Times New Roman"/>
          <w:bCs/>
          <w:i/>
          <w:sz w:val="20"/>
          <w:szCs w:val="20"/>
          <w:shd w:val="clear" w:color="auto" w:fill="FFFFFF"/>
        </w:rPr>
        <w:t>b</w:t>
      </w:r>
      <w:r w:rsidR="00265075" w:rsidRPr="00AC093A">
        <w:rPr>
          <w:rFonts w:ascii="Times New Roman" w:hAnsi="Times New Roman" w:cs="Times New Roman"/>
          <w:bCs/>
          <w:i/>
          <w:sz w:val="20"/>
          <w:szCs w:val="20"/>
          <w:shd w:val="clear" w:color="auto" w:fill="FFFFFF"/>
        </w:rPr>
        <w:t xml:space="preserve">ase oil improved dielectric dissipation factor, water content, total acidity and </w:t>
      </w:r>
      <w:r w:rsidR="00BA0F33" w:rsidRPr="00AC093A">
        <w:rPr>
          <w:rFonts w:ascii="Times New Roman" w:hAnsi="Times New Roman" w:cs="Times New Roman"/>
          <w:bCs/>
          <w:i/>
          <w:sz w:val="20"/>
          <w:szCs w:val="20"/>
          <w:shd w:val="clear" w:color="auto" w:fill="FFFFFF"/>
        </w:rPr>
        <w:t>color</w:t>
      </w:r>
      <w:r w:rsidR="00265075" w:rsidRPr="00AC093A">
        <w:rPr>
          <w:rFonts w:ascii="Times New Roman" w:hAnsi="Times New Roman" w:cs="Times New Roman"/>
          <w:bCs/>
          <w:i/>
          <w:sz w:val="20"/>
          <w:szCs w:val="20"/>
          <w:shd w:val="clear" w:color="auto" w:fill="FFFFFF"/>
        </w:rPr>
        <w:t xml:space="preserve">. These properties are the basic requirement of </w:t>
      </w:r>
      <w:r w:rsidR="007659A2" w:rsidRPr="00AC093A">
        <w:rPr>
          <w:rFonts w:ascii="Times New Roman" w:hAnsi="Times New Roman" w:cs="Times New Roman"/>
          <w:bCs/>
          <w:i/>
          <w:sz w:val="20"/>
          <w:szCs w:val="20"/>
          <w:shd w:val="clear" w:color="auto" w:fill="FFFFFF"/>
        </w:rPr>
        <w:t>good</w:t>
      </w:r>
      <w:r w:rsidR="00265075" w:rsidRPr="00AC093A">
        <w:rPr>
          <w:rFonts w:ascii="Times New Roman" w:hAnsi="Times New Roman" w:cs="Times New Roman"/>
          <w:bCs/>
          <w:i/>
          <w:sz w:val="20"/>
          <w:szCs w:val="20"/>
          <w:shd w:val="clear" w:color="auto" w:fill="FFFFFF"/>
        </w:rPr>
        <w:t xml:space="preserve"> transformer base oil, which normally belongs to Group II </w:t>
      </w:r>
      <w:r w:rsidR="007659A2" w:rsidRPr="00AC093A">
        <w:rPr>
          <w:rFonts w:ascii="Times New Roman" w:hAnsi="Times New Roman" w:cs="Times New Roman"/>
          <w:bCs/>
          <w:i/>
          <w:sz w:val="20"/>
          <w:szCs w:val="20"/>
          <w:shd w:val="clear" w:color="auto" w:fill="FFFFFF"/>
        </w:rPr>
        <w:t>base</w:t>
      </w:r>
      <w:r w:rsidR="00265075" w:rsidRPr="00AC093A">
        <w:rPr>
          <w:rFonts w:ascii="Times New Roman" w:hAnsi="Times New Roman" w:cs="Times New Roman"/>
          <w:bCs/>
          <w:i/>
          <w:sz w:val="20"/>
          <w:szCs w:val="20"/>
          <w:shd w:val="clear" w:color="auto" w:fill="FFFFFF"/>
        </w:rPr>
        <w:t xml:space="preserve"> oil. Therefore, we select Group II base </w:t>
      </w:r>
      <w:r w:rsidR="007659A2" w:rsidRPr="00AC093A">
        <w:rPr>
          <w:rFonts w:ascii="Times New Roman" w:hAnsi="Times New Roman" w:cs="Times New Roman"/>
          <w:bCs/>
          <w:i/>
          <w:sz w:val="20"/>
          <w:szCs w:val="20"/>
          <w:shd w:val="clear" w:color="auto" w:fill="FFFFFF"/>
        </w:rPr>
        <w:t>oil;</w:t>
      </w:r>
      <w:r w:rsidR="00265075" w:rsidRPr="00AC093A">
        <w:rPr>
          <w:rFonts w:ascii="Times New Roman" w:hAnsi="Times New Roman" w:cs="Times New Roman"/>
          <w:bCs/>
          <w:i/>
          <w:sz w:val="20"/>
          <w:szCs w:val="20"/>
          <w:shd w:val="clear" w:color="auto" w:fill="FFFFFF"/>
        </w:rPr>
        <w:t xml:space="preserve"> LP-70 (imported) as a reference and Group I base oil 65 NHVI for optimizatio</w:t>
      </w:r>
      <w:r w:rsidR="00CC0500" w:rsidRPr="00AC093A">
        <w:rPr>
          <w:rFonts w:ascii="Times New Roman" w:hAnsi="Times New Roman" w:cs="Times New Roman"/>
          <w:bCs/>
          <w:i/>
          <w:sz w:val="20"/>
          <w:szCs w:val="20"/>
          <w:shd w:val="clear" w:color="auto" w:fill="FFFFFF"/>
        </w:rPr>
        <w:t>n of the method. Thus acid/clay</w:t>
      </w:r>
      <w:r w:rsidR="00BA0F33" w:rsidRPr="00AC093A">
        <w:rPr>
          <w:rFonts w:ascii="Times New Roman" w:hAnsi="Times New Roman" w:cs="Times New Roman"/>
          <w:bCs/>
          <w:i/>
          <w:sz w:val="20"/>
          <w:szCs w:val="20"/>
          <w:shd w:val="clear" w:color="auto" w:fill="FFFFFF"/>
        </w:rPr>
        <w:t xml:space="preserve"> </w:t>
      </w:r>
      <w:r w:rsidR="00E50C37" w:rsidRPr="00AC093A">
        <w:rPr>
          <w:rFonts w:ascii="Times New Roman" w:hAnsi="Times New Roman" w:cs="Times New Roman"/>
          <w:bCs/>
          <w:i/>
          <w:sz w:val="20"/>
          <w:szCs w:val="20"/>
          <w:shd w:val="clear" w:color="auto" w:fill="FFFFFF"/>
        </w:rPr>
        <w:t>was found to be</w:t>
      </w:r>
      <w:r w:rsidR="00BA0F33" w:rsidRPr="00AC093A">
        <w:rPr>
          <w:rFonts w:ascii="Times New Roman" w:hAnsi="Times New Roman" w:cs="Times New Roman"/>
          <w:bCs/>
          <w:i/>
          <w:sz w:val="20"/>
          <w:szCs w:val="20"/>
          <w:shd w:val="clear" w:color="auto" w:fill="FFFFFF"/>
        </w:rPr>
        <w:t xml:space="preserve"> </w:t>
      </w:r>
      <w:r w:rsidR="00CC0500" w:rsidRPr="00AC093A">
        <w:rPr>
          <w:rFonts w:ascii="Times New Roman" w:hAnsi="Times New Roman" w:cs="Times New Roman"/>
          <w:bCs/>
          <w:i/>
          <w:sz w:val="20"/>
          <w:szCs w:val="20"/>
          <w:shd w:val="clear" w:color="auto" w:fill="FFFFFF"/>
        </w:rPr>
        <w:t>a</w:t>
      </w:r>
      <w:r w:rsidR="00BA0F33" w:rsidRPr="00AC093A">
        <w:rPr>
          <w:rFonts w:ascii="Times New Roman" w:hAnsi="Times New Roman" w:cs="Times New Roman"/>
          <w:bCs/>
          <w:i/>
          <w:sz w:val="20"/>
          <w:szCs w:val="20"/>
          <w:shd w:val="clear" w:color="auto" w:fill="FFFFFF"/>
        </w:rPr>
        <w:t xml:space="preserve"> </w:t>
      </w:r>
      <w:r w:rsidR="00E50C37" w:rsidRPr="00AC093A">
        <w:rPr>
          <w:rFonts w:ascii="Times New Roman" w:hAnsi="Times New Roman" w:cs="Times New Roman"/>
          <w:bCs/>
          <w:i/>
          <w:sz w:val="20"/>
          <w:szCs w:val="20"/>
          <w:shd w:val="clear" w:color="auto" w:fill="FFFFFF"/>
        </w:rPr>
        <w:t>good</w:t>
      </w:r>
      <w:r w:rsidR="00BA0F33" w:rsidRPr="00AC093A">
        <w:rPr>
          <w:rFonts w:ascii="Times New Roman" w:hAnsi="Times New Roman" w:cs="Times New Roman"/>
          <w:bCs/>
          <w:i/>
          <w:sz w:val="20"/>
          <w:szCs w:val="20"/>
          <w:shd w:val="clear" w:color="auto" w:fill="FFFFFF"/>
        </w:rPr>
        <w:t xml:space="preserve"> </w:t>
      </w:r>
      <w:r w:rsidR="00265075" w:rsidRPr="00AC093A">
        <w:rPr>
          <w:rFonts w:ascii="Times New Roman" w:hAnsi="Times New Roman" w:cs="Times New Roman"/>
          <w:bCs/>
          <w:i/>
          <w:sz w:val="20"/>
          <w:szCs w:val="20"/>
          <w:shd w:val="clear" w:color="auto" w:fill="FFFFFF"/>
        </w:rPr>
        <w:t xml:space="preserve">treatment </w:t>
      </w:r>
      <w:r w:rsidR="007659A2" w:rsidRPr="00AC093A">
        <w:rPr>
          <w:rFonts w:ascii="Times New Roman" w:hAnsi="Times New Roman" w:cs="Times New Roman"/>
          <w:bCs/>
          <w:i/>
          <w:sz w:val="20"/>
          <w:szCs w:val="20"/>
          <w:shd w:val="clear" w:color="auto" w:fill="FFFFFF"/>
        </w:rPr>
        <w:t xml:space="preserve">for base I </w:t>
      </w:r>
      <w:r w:rsidR="00265075" w:rsidRPr="00AC093A">
        <w:rPr>
          <w:rFonts w:ascii="Times New Roman" w:hAnsi="Times New Roman" w:cs="Times New Roman"/>
          <w:bCs/>
          <w:i/>
          <w:sz w:val="20"/>
          <w:szCs w:val="20"/>
          <w:shd w:val="clear" w:color="auto" w:fill="FFFFFF"/>
        </w:rPr>
        <w:t>transformer oil</w:t>
      </w:r>
      <w:r w:rsidR="007659A2" w:rsidRPr="00AC093A">
        <w:rPr>
          <w:rFonts w:ascii="Times New Roman" w:hAnsi="Times New Roman" w:cs="Times New Roman"/>
          <w:bCs/>
          <w:i/>
          <w:sz w:val="20"/>
          <w:szCs w:val="20"/>
          <w:shd w:val="clear" w:color="auto" w:fill="FFFFFF"/>
        </w:rPr>
        <w:t>.</w:t>
      </w:r>
      <w:r w:rsidR="00265075" w:rsidRPr="00AC093A">
        <w:rPr>
          <w:rFonts w:ascii="Times New Roman" w:hAnsi="Times New Roman" w:cs="Times New Roman"/>
          <w:bCs/>
          <w:i/>
          <w:sz w:val="20"/>
          <w:szCs w:val="20"/>
          <w:shd w:val="clear" w:color="auto" w:fill="FFFFFF"/>
        </w:rPr>
        <w:t xml:space="preserve"> </w:t>
      </w:r>
    </w:p>
    <w:p w:rsidR="003A7A87" w:rsidRPr="00AC093A" w:rsidRDefault="00265075" w:rsidP="00AC093A">
      <w:pPr>
        <w:spacing w:after="0" w:line="240" w:lineRule="auto"/>
        <w:ind w:right="115"/>
        <w:jc w:val="center"/>
        <w:rPr>
          <w:rFonts w:ascii="Times New Roman" w:hAnsi="Times New Roman" w:cs="Times New Roman"/>
          <w:bCs/>
          <w:sz w:val="18"/>
          <w:szCs w:val="18"/>
          <w:shd w:val="clear" w:color="auto" w:fill="FFFFFF"/>
        </w:rPr>
      </w:pPr>
      <w:r w:rsidRPr="00AC093A">
        <w:rPr>
          <w:rFonts w:ascii="Times New Roman" w:hAnsi="Times New Roman" w:cs="Times New Roman"/>
          <w:b/>
          <w:bCs/>
          <w:sz w:val="18"/>
          <w:szCs w:val="18"/>
          <w:shd w:val="clear" w:color="auto" w:fill="FFFFFF"/>
        </w:rPr>
        <w:t>Keywords</w:t>
      </w:r>
      <w:r w:rsidR="00CD23EF" w:rsidRPr="00AC093A">
        <w:rPr>
          <w:rFonts w:ascii="Times New Roman" w:hAnsi="Times New Roman" w:cs="Times New Roman"/>
          <w:b/>
          <w:bCs/>
          <w:sz w:val="18"/>
          <w:szCs w:val="18"/>
          <w:shd w:val="clear" w:color="auto" w:fill="FFFFFF"/>
        </w:rPr>
        <w:t xml:space="preserve">   </w:t>
      </w:r>
      <w:r w:rsidRPr="00AC093A">
        <w:rPr>
          <w:rFonts w:ascii="Times New Roman" w:hAnsi="Times New Roman" w:cs="Times New Roman"/>
          <w:bCs/>
          <w:sz w:val="18"/>
          <w:szCs w:val="18"/>
          <w:shd w:val="clear" w:color="auto" w:fill="FFFFFF"/>
        </w:rPr>
        <w:t>Transformer oil; Acid treatment and Characterization; Bleaching earth clay</w:t>
      </w:r>
    </w:p>
    <w:p w:rsidR="00D2601A" w:rsidRDefault="00D2601A" w:rsidP="00D2601A">
      <w:pPr>
        <w:pStyle w:val="Heading3"/>
        <w:spacing w:before="0"/>
        <w:rPr>
          <w:rFonts w:ascii="Times New Roman" w:hAnsi="Times New Roman" w:cs="Times New Roman"/>
          <w:color w:val="auto"/>
          <w:sz w:val="20"/>
          <w:szCs w:val="20"/>
        </w:rPr>
      </w:pPr>
    </w:p>
    <w:p w:rsidR="00D2601A" w:rsidRPr="00D2601A" w:rsidRDefault="00D2601A" w:rsidP="00D2601A">
      <w:pPr>
        <w:sectPr w:rsidR="00D2601A" w:rsidRPr="00D2601A" w:rsidSect="00BF65A7">
          <w:headerReference w:type="even" r:id="rId10"/>
          <w:headerReference w:type="default" r:id="rId11"/>
          <w:footerReference w:type="even" r:id="rId12"/>
          <w:footerReference w:type="default" r:id="rId13"/>
          <w:headerReference w:type="first" r:id="rId14"/>
          <w:footerReference w:type="first" r:id="rId15"/>
          <w:pgSz w:w="12240" w:h="15840" w:code="1"/>
          <w:pgMar w:top="1008" w:right="1296" w:bottom="1008" w:left="1008" w:header="720" w:footer="720" w:gutter="0"/>
          <w:pgNumType w:start="3837"/>
          <w:cols w:space="288"/>
          <w:noEndnote/>
          <w:docGrid w:linePitch="299"/>
        </w:sectPr>
      </w:pPr>
    </w:p>
    <w:p w:rsidR="00F575B4" w:rsidRPr="00AF7DA0" w:rsidRDefault="008521D6" w:rsidP="00D2601A">
      <w:pPr>
        <w:pStyle w:val="Heading3"/>
        <w:spacing w:before="0" w:line="240" w:lineRule="auto"/>
        <w:rPr>
          <w:rFonts w:asciiTheme="minorBidi" w:hAnsiTheme="minorBidi" w:cstheme="minorBidi"/>
          <w:color w:val="auto"/>
          <w:sz w:val="20"/>
          <w:szCs w:val="20"/>
        </w:rPr>
      </w:pPr>
      <w:r w:rsidRPr="00696681">
        <w:rPr>
          <w:rFonts w:ascii="Times New Roman" w:hAnsi="Times New Roman" w:cs="Times New Roman"/>
          <w:color w:val="auto"/>
          <w:sz w:val="20"/>
          <w:szCs w:val="20"/>
        </w:rPr>
        <w:lastRenderedPageBreak/>
        <w:t>1.</w:t>
      </w:r>
      <w:r w:rsidR="00B10512" w:rsidRPr="00D2601A">
        <w:rPr>
          <w:rFonts w:ascii="Times New Roman" w:hAnsi="Times New Roman" w:cs="Times New Roman"/>
          <w:color w:val="auto"/>
          <w:sz w:val="20"/>
          <w:szCs w:val="20"/>
        </w:rPr>
        <w:t xml:space="preserve"> </w:t>
      </w:r>
      <w:r w:rsidR="00B10512" w:rsidRPr="00AF7DA0">
        <w:rPr>
          <w:rFonts w:asciiTheme="minorBidi" w:hAnsiTheme="minorBidi" w:cstheme="minorBidi"/>
          <w:color w:val="auto"/>
          <w:sz w:val="20"/>
          <w:szCs w:val="20"/>
        </w:rPr>
        <w:t>INTRODUCTION</w:t>
      </w:r>
    </w:p>
    <w:p w:rsidR="00913C46" w:rsidRPr="00D2601A" w:rsidRDefault="00913C46" w:rsidP="00D2601A">
      <w:pPr>
        <w:spacing w:after="0" w:line="240" w:lineRule="auto"/>
        <w:jc w:val="both"/>
        <w:rPr>
          <w:rFonts w:ascii="Times New Roman" w:hAnsi="Times New Roman" w:cs="Times New Roman"/>
          <w:sz w:val="20"/>
          <w:szCs w:val="20"/>
          <w:shd w:val="clear" w:color="auto" w:fill="FFFFFF"/>
        </w:rPr>
      </w:pPr>
      <w:r w:rsidRPr="00D2601A">
        <w:rPr>
          <w:rStyle w:val="Strong"/>
          <w:rFonts w:ascii="Times New Roman" w:hAnsi="Times New Roman" w:cs="Times New Roman"/>
          <w:b w:val="0"/>
          <w:sz w:val="20"/>
          <w:szCs w:val="20"/>
          <w:shd w:val="clear" w:color="auto" w:fill="FFFFFF"/>
        </w:rPr>
        <w:t>Insulating oil</w:t>
      </w:r>
      <w:r w:rsidRPr="00D2601A">
        <w:rPr>
          <w:rStyle w:val="apple-converted-space"/>
          <w:rFonts w:ascii="Times New Roman" w:hAnsi="Times New Roman" w:cs="Times New Roman"/>
          <w:sz w:val="20"/>
          <w:szCs w:val="20"/>
          <w:shd w:val="clear" w:color="auto" w:fill="FFFFFF"/>
        </w:rPr>
        <w:t> </w:t>
      </w:r>
      <w:r w:rsidRPr="00D2601A">
        <w:rPr>
          <w:rFonts w:ascii="Times New Roman" w:hAnsi="Times New Roman" w:cs="Times New Roman"/>
          <w:sz w:val="20"/>
          <w:szCs w:val="20"/>
          <w:shd w:val="clear" w:color="auto" w:fill="FFFFFF"/>
        </w:rPr>
        <w:t>in an</w:t>
      </w:r>
      <w:r w:rsidRPr="00D2601A">
        <w:rPr>
          <w:rStyle w:val="apple-converted-space"/>
          <w:rFonts w:ascii="Times New Roman" w:hAnsi="Times New Roman" w:cs="Times New Roman"/>
          <w:sz w:val="20"/>
          <w:szCs w:val="20"/>
          <w:shd w:val="clear" w:color="auto" w:fill="FFFFFF"/>
        </w:rPr>
        <w:t> </w:t>
      </w:r>
      <w:hyperlink r:id="rId16" w:history="1">
        <w:r w:rsidRPr="00D2601A">
          <w:rPr>
            <w:rStyle w:val="Hyperlink"/>
            <w:rFonts w:ascii="Times New Roman" w:hAnsi="Times New Roman" w:cs="Times New Roman"/>
            <w:color w:val="auto"/>
            <w:sz w:val="20"/>
            <w:szCs w:val="20"/>
            <w:u w:val="none"/>
            <w:shd w:val="clear" w:color="auto" w:fill="FFFFFF"/>
          </w:rPr>
          <w:t>electrical power transformer</w:t>
        </w:r>
      </w:hyperlink>
      <w:r w:rsidRPr="00D2601A">
        <w:rPr>
          <w:rStyle w:val="apple-converted-space"/>
          <w:rFonts w:ascii="Times New Roman" w:hAnsi="Times New Roman" w:cs="Times New Roman"/>
          <w:sz w:val="20"/>
          <w:szCs w:val="20"/>
          <w:shd w:val="clear" w:color="auto" w:fill="FFFFFF"/>
        </w:rPr>
        <w:t> </w:t>
      </w:r>
      <w:r w:rsidRPr="00D2601A">
        <w:rPr>
          <w:rFonts w:ascii="Times New Roman" w:hAnsi="Times New Roman" w:cs="Times New Roman"/>
          <w:sz w:val="20"/>
          <w:szCs w:val="20"/>
          <w:shd w:val="clear" w:color="auto" w:fill="FFFFFF"/>
        </w:rPr>
        <w:t xml:space="preserve">is commonly known as transformer </w:t>
      </w:r>
      <w:r w:rsidR="00F22DA2" w:rsidRPr="00D2601A">
        <w:rPr>
          <w:rFonts w:ascii="Times New Roman" w:hAnsi="Times New Roman" w:cs="Times New Roman"/>
          <w:sz w:val="20"/>
          <w:szCs w:val="20"/>
          <w:shd w:val="clear" w:color="auto" w:fill="FFFFFF"/>
        </w:rPr>
        <w:t>oil. It</w:t>
      </w:r>
      <w:r w:rsidRPr="00D2601A">
        <w:rPr>
          <w:rFonts w:ascii="Times New Roman" w:hAnsi="Times New Roman" w:cs="Times New Roman"/>
          <w:sz w:val="20"/>
          <w:szCs w:val="20"/>
          <w:shd w:val="clear" w:color="auto" w:fill="FFFFFF"/>
        </w:rPr>
        <w:t xml:space="preserve"> is normally obtained by fractional distillation and subsequent treatment of crude petroleum</w:t>
      </w:r>
      <w:r w:rsidR="00382076" w:rsidRPr="00D2601A">
        <w:rPr>
          <w:rFonts w:ascii="Times New Roman" w:hAnsi="Times New Roman" w:cs="Times New Roman"/>
          <w:sz w:val="20"/>
          <w:szCs w:val="20"/>
          <w:shd w:val="clear" w:color="auto" w:fill="FFFFFF"/>
        </w:rPr>
        <w:fldChar w:fldCharType="begin" w:fldLock="1"/>
      </w:r>
      <w:r w:rsidRPr="00D2601A">
        <w:rPr>
          <w:rFonts w:ascii="Times New Roman" w:hAnsi="Times New Roman" w:cs="Times New Roman"/>
          <w:sz w:val="20"/>
          <w:szCs w:val="20"/>
          <w:shd w:val="clear" w:color="auto" w:fill="FFFFFF"/>
        </w:rPr>
        <w:instrText>ADDIN CSL_CITATION { "citationItems" : [ { "id" : "ITEM-1", "itemData" : { "author" : [ { "dropping-particle" : "", "family" : "Gauger", "given" : "G A", "non-dropping-particle" : "", "parse-names" : false, "suffix" : "" }, { "dropping-particle" : "", "family" : "Goedde", "given" : "G L", "non-dropping-particle" : "", "parse-names" : false, "suffix" : "" }, { "dropping-particle" : "", "family" : "Lapp", "given" : "J", "non-dropping-particle" : "", "parse-names" : false, "suffix" : "" }, { "dropping-particle" : "", "family" : "Yerges", "given" : "A P", "non-dropping-particle" : "", "parse-names" : false, "suffix" : "" } ], "id" : "ITEM-1", "issued" : { "date-parts" : [ [ "1997" ] ] }, "note" : "WO Patent App. PCT/US1996/020,496", "publisher" : "Google Patents", "title" : "Dielectric fluid having defined chemical composition for use in electrical apparatus", "type" : "article" }, "uris" : [ "http://www.mendeley.com/documents/?uuid=2e1e975a-4d19-4634-b8e6-c0ca498ef1ed" ] } ], "mendeley" : { "formattedCitation" : "[1]", "plainTextFormattedCitation" : "[1]", "previouslyFormattedCitation" : "[1]" }, "properties" : { "noteIndex" : 0 }, "schema" : "https://github.com/citation-style-language/schema/raw/master/csl-citation.json" }</w:instrText>
      </w:r>
      <w:r w:rsidR="00382076" w:rsidRPr="00D2601A">
        <w:rPr>
          <w:rFonts w:ascii="Times New Roman" w:hAnsi="Times New Roman" w:cs="Times New Roman"/>
          <w:sz w:val="20"/>
          <w:szCs w:val="20"/>
          <w:shd w:val="clear" w:color="auto" w:fill="FFFFFF"/>
        </w:rPr>
        <w:fldChar w:fldCharType="separate"/>
      </w:r>
      <w:r w:rsidRPr="00D2601A">
        <w:rPr>
          <w:rFonts w:ascii="Times New Roman" w:hAnsi="Times New Roman" w:cs="Times New Roman"/>
          <w:noProof/>
          <w:sz w:val="20"/>
          <w:szCs w:val="20"/>
          <w:shd w:val="clear" w:color="auto" w:fill="FFFFFF"/>
        </w:rPr>
        <w:t>[1]</w:t>
      </w:r>
      <w:r w:rsidR="00382076" w:rsidRPr="00D2601A">
        <w:rPr>
          <w:rFonts w:ascii="Times New Roman" w:hAnsi="Times New Roman" w:cs="Times New Roman"/>
          <w:sz w:val="20"/>
          <w:szCs w:val="20"/>
          <w:shd w:val="clear" w:color="auto" w:fill="FFFFFF"/>
        </w:rPr>
        <w:fldChar w:fldCharType="end"/>
      </w:r>
      <w:r w:rsidRPr="00D2601A">
        <w:rPr>
          <w:rFonts w:ascii="Times New Roman" w:hAnsi="Times New Roman" w:cs="Times New Roman"/>
          <w:sz w:val="20"/>
          <w:szCs w:val="20"/>
          <w:shd w:val="clear" w:color="auto" w:fill="FFFFFF"/>
        </w:rPr>
        <w:t>. That is why this oil is also known as mineral</w:t>
      </w:r>
      <w:r w:rsidRPr="00D2601A">
        <w:rPr>
          <w:rStyle w:val="apple-converted-space"/>
          <w:rFonts w:ascii="Times New Roman" w:hAnsi="Times New Roman" w:cs="Times New Roman"/>
          <w:sz w:val="20"/>
          <w:szCs w:val="20"/>
          <w:shd w:val="clear" w:color="auto" w:fill="FFFFFF"/>
        </w:rPr>
        <w:t> </w:t>
      </w:r>
      <w:r w:rsidRPr="00D2601A">
        <w:rPr>
          <w:rStyle w:val="Strong"/>
          <w:rFonts w:ascii="Times New Roman" w:hAnsi="Times New Roman" w:cs="Times New Roman"/>
          <w:b w:val="0"/>
          <w:sz w:val="20"/>
          <w:szCs w:val="20"/>
          <w:shd w:val="clear" w:color="auto" w:fill="FFFFFF"/>
        </w:rPr>
        <w:t>insulating oil</w:t>
      </w:r>
      <w:r w:rsidRPr="00D2601A">
        <w:rPr>
          <w:rFonts w:ascii="Times New Roman" w:hAnsi="Times New Roman" w:cs="Times New Roman"/>
          <w:sz w:val="20"/>
          <w:szCs w:val="20"/>
          <w:shd w:val="clear" w:color="auto" w:fill="FFFFFF"/>
        </w:rPr>
        <w:t>.</w:t>
      </w:r>
      <w:r w:rsidRPr="00D2601A">
        <w:rPr>
          <w:rStyle w:val="apple-converted-space"/>
          <w:rFonts w:ascii="Times New Roman" w:hAnsi="Times New Roman" w:cs="Times New Roman"/>
          <w:sz w:val="20"/>
          <w:szCs w:val="20"/>
          <w:shd w:val="clear" w:color="auto" w:fill="FFFFFF"/>
        </w:rPr>
        <w:t> </w:t>
      </w:r>
      <w:r w:rsidRPr="00D2601A">
        <w:rPr>
          <w:rStyle w:val="Strong"/>
          <w:rFonts w:ascii="Times New Roman" w:hAnsi="Times New Roman" w:cs="Times New Roman"/>
          <w:b w:val="0"/>
          <w:sz w:val="20"/>
          <w:szCs w:val="20"/>
          <w:shd w:val="clear" w:color="auto" w:fill="FFFFFF"/>
        </w:rPr>
        <w:t xml:space="preserve">Transformer oil </w:t>
      </w:r>
      <w:r w:rsidRPr="00D2601A">
        <w:rPr>
          <w:rFonts w:ascii="Times New Roman" w:hAnsi="Times New Roman" w:cs="Times New Roman"/>
          <w:sz w:val="20"/>
          <w:szCs w:val="20"/>
          <w:shd w:val="clear" w:color="auto" w:fill="FFFFFF"/>
        </w:rPr>
        <w:t>serves following purposes:</w:t>
      </w:r>
    </w:p>
    <w:p w:rsidR="00346090" w:rsidRPr="00D2601A" w:rsidRDefault="00913C46" w:rsidP="00AF7DA0">
      <w:pPr>
        <w:pStyle w:val="ListParagraph"/>
        <w:numPr>
          <w:ilvl w:val="0"/>
          <w:numId w:val="7"/>
        </w:numPr>
        <w:spacing w:after="0" w:line="240" w:lineRule="auto"/>
        <w:ind w:left="216" w:hanging="216"/>
        <w:rPr>
          <w:rFonts w:ascii="Times New Roman" w:hAnsi="Times New Roman" w:cs="Times New Roman"/>
          <w:sz w:val="20"/>
          <w:szCs w:val="20"/>
          <w:shd w:val="clear" w:color="auto" w:fill="FFFFFF"/>
        </w:rPr>
      </w:pPr>
      <w:r w:rsidRPr="00D2601A">
        <w:rPr>
          <w:rFonts w:ascii="Times New Roman" w:hAnsi="Times New Roman" w:cs="Times New Roman"/>
          <w:sz w:val="20"/>
          <w:szCs w:val="20"/>
          <w:shd w:val="clear" w:color="auto" w:fill="FFFFFF"/>
        </w:rPr>
        <w:t xml:space="preserve">It dissipates heat of the transformer i.e. acts as coolant </w:t>
      </w:r>
      <w:r w:rsidR="00382076" w:rsidRPr="00D2601A">
        <w:rPr>
          <w:rFonts w:ascii="Times New Roman" w:hAnsi="Times New Roman" w:cs="Times New Roman"/>
          <w:sz w:val="20"/>
          <w:szCs w:val="20"/>
          <w:shd w:val="clear" w:color="auto" w:fill="FFFFFF"/>
        </w:rPr>
        <w:fldChar w:fldCharType="begin" w:fldLock="1"/>
      </w:r>
      <w:r w:rsidRPr="00D2601A">
        <w:rPr>
          <w:rFonts w:ascii="Times New Roman" w:hAnsi="Times New Roman" w:cs="Times New Roman"/>
          <w:sz w:val="20"/>
          <w:szCs w:val="20"/>
          <w:shd w:val="clear" w:color="auto" w:fill="FFFFFF"/>
        </w:rPr>
        <w:instrText>ADDIN CSL_CITATION { "citationItems" : [ { "id" : "ITEM-1", "itemData" : { "DOI" : "10.1109/57.675572", "ISBN" : "0883-7554 VO  - 14", "abstract" : "Nearly all load bearing transformers in electric power delivery systems around the world are filled with liquid. The liquid functions both as an electrical insulation and as a heat transfer fluid. The liquid in almost all of these units is transformer oil, petroleum-based insulating oil refined specifically to meet the requirements of this application. Transformers in electric power distribution and transmission systems are expected to function reliably and efficiently and to do this for many years. The quality of the oil in a transformer plays an important role in performing this function, and the characteristics of transformer oil have been examined and reported on for decades. This article discusses some of these characteristics and the relationships between these characteristics and the production and in-service performance of mineral transformer oil. Transformer oil is used around the world, but the emphasis here is on practices in the United States.", "author" : [ { "dropping-particle" : "", "family" : "Rouse", "given" : "T O", "non-dropping-particle" : "", "parse-names" : false, "suffix" : "" } ], "container-title" : "Electrical Insulation Magazine, IEEE", "id" : "ITEM-1", "issue" : "3", "issued" : { "date-parts" : [ [ "1998" ] ] }, "page" : "6-16", "title" : "Mineral insulating oil in transformers", "type" : "article", "volume" : "14" }, "uris" : [ "http://www.mendeley.com/documents/?uuid=598cd7a8-2e87-4877-9be3-2f019ae4487a" ] } ], "mendeley" : { "formattedCitation" : "[3]", "plainTextFormattedCitation" : "[3]", "previouslyFormattedCitation" : "[3]" }, "properties" : { "noteIndex" : 0 }, "schema" : "https://github.com/citation-style-language/schema/raw/master/csl-citation.json" }</w:instrText>
      </w:r>
      <w:r w:rsidR="00382076" w:rsidRPr="00D2601A">
        <w:rPr>
          <w:rFonts w:ascii="Times New Roman" w:hAnsi="Times New Roman" w:cs="Times New Roman"/>
          <w:sz w:val="20"/>
          <w:szCs w:val="20"/>
          <w:shd w:val="clear" w:color="auto" w:fill="FFFFFF"/>
        </w:rPr>
        <w:fldChar w:fldCharType="separate"/>
      </w:r>
      <w:r w:rsidR="00A745A3" w:rsidRPr="00D2601A">
        <w:rPr>
          <w:rFonts w:ascii="Times New Roman" w:hAnsi="Times New Roman" w:cs="Times New Roman"/>
          <w:noProof/>
          <w:sz w:val="20"/>
          <w:szCs w:val="20"/>
          <w:shd w:val="clear" w:color="auto" w:fill="FFFFFF"/>
        </w:rPr>
        <w:t>[2</w:t>
      </w:r>
      <w:r w:rsidRPr="00D2601A">
        <w:rPr>
          <w:rFonts w:ascii="Times New Roman" w:hAnsi="Times New Roman" w:cs="Times New Roman"/>
          <w:noProof/>
          <w:sz w:val="20"/>
          <w:szCs w:val="20"/>
          <w:shd w:val="clear" w:color="auto" w:fill="FFFFFF"/>
        </w:rPr>
        <w:t>]</w:t>
      </w:r>
      <w:r w:rsidR="00382076" w:rsidRPr="00D2601A">
        <w:rPr>
          <w:rFonts w:ascii="Times New Roman" w:hAnsi="Times New Roman" w:cs="Times New Roman"/>
          <w:sz w:val="20"/>
          <w:szCs w:val="20"/>
          <w:shd w:val="clear" w:color="auto" w:fill="FFFFFF"/>
        </w:rPr>
        <w:fldChar w:fldCharType="end"/>
      </w:r>
      <w:r w:rsidRPr="00D2601A">
        <w:rPr>
          <w:rFonts w:ascii="Times New Roman" w:hAnsi="Times New Roman" w:cs="Times New Roman"/>
          <w:sz w:val="20"/>
          <w:szCs w:val="20"/>
          <w:shd w:val="clear" w:color="auto" w:fill="FFFFFF"/>
        </w:rPr>
        <w:t xml:space="preserve">. </w:t>
      </w:r>
    </w:p>
    <w:p w:rsidR="00346090" w:rsidRPr="00D2601A" w:rsidRDefault="00913C46" w:rsidP="00AF7DA0">
      <w:pPr>
        <w:pStyle w:val="ListParagraph"/>
        <w:numPr>
          <w:ilvl w:val="0"/>
          <w:numId w:val="7"/>
        </w:numPr>
        <w:spacing w:after="0" w:line="240" w:lineRule="auto"/>
        <w:ind w:left="216" w:hanging="216"/>
        <w:jc w:val="both"/>
        <w:rPr>
          <w:rFonts w:ascii="Times New Roman" w:hAnsi="Times New Roman" w:cs="Times New Roman"/>
          <w:sz w:val="20"/>
          <w:szCs w:val="20"/>
          <w:shd w:val="clear" w:color="auto" w:fill="FFFFFF"/>
        </w:rPr>
      </w:pPr>
      <w:r w:rsidRPr="00D2601A">
        <w:rPr>
          <w:rFonts w:ascii="Times New Roman" w:hAnsi="Times New Roman" w:cs="Times New Roman"/>
          <w:sz w:val="20"/>
          <w:szCs w:val="20"/>
          <w:shd w:val="clear" w:color="auto" w:fill="FFFFFF"/>
        </w:rPr>
        <w:t xml:space="preserve">It helps to preserve the core and winding as these are fully immersed inside oil. </w:t>
      </w:r>
    </w:p>
    <w:p w:rsidR="000D572B" w:rsidRPr="00D2601A" w:rsidRDefault="00913C46" w:rsidP="00AF7DA0">
      <w:pPr>
        <w:pStyle w:val="ListParagraph"/>
        <w:numPr>
          <w:ilvl w:val="0"/>
          <w:numId w:val="7"/>
        </w:numPr>
        <w:spacing w:after="0" w:line="240" w:lineRule="auto"/>
        <w:ind w:left="216" w:hanging="216"/>
        <w:jc w:val="both"/>
        <w:rPr>
          <w:rFonts w:ascii="Times New Roman" w:hAnsi="Times New Roman" w:cs="Times New Roman"/>
          <w:sz w:val="20"/>
          <w:szCs w:val="20"/>
          <w:shd w:val="clear" w:color="auto" w:fill="FFFFFF"/>
        </w:rPr>
      </w:pPr>
      <w:r w:rsidRPr="00D2601A">
        <w:rPr>
          <w:rFonts w:ascii="Times New Roman" w:hAnsi="Times New Roman" w:cs="Times New Roman"/>
          <w:sz w:val="20"/>
          <w:szCs w:val="20"/>
          <w:shd w:val="clear" w:color="auto" w:fill="FFFFFF"/>
        </w:rPr>
        <w:t xml:space="preserve">It prevents direct contact of atmospheric oxygen with cellulose made paper insulation of windings, which is susceptible to oxidation </w:t>
      </w:r>
      <w:r w:rsidR="00382076" w:rsidRPr="00D2601A">
        <w:rPr>
          <w:rFonts w:ascii="Times New Roman" w:hAnsi="Times New Roman" w:cs="Times New Roman"/>
          <w:sz w:val="20"/>
          <w:szCs w:val="20"/>
          <w:shd w:val="clear" w:color="auto" w:fill="FFFFFF"/>
        </w:rPr>
        <w:fldChar w:fldCharType="begin" w:fldLock="1"/>
      </w:r>
      <w:r w:rsidRPr="00D2601A">
        <w:rPr>
          <w:rFonts w:ascii="Times New Roman" w:hAnsi="Times New Roman" w:cs="Times New Roman"/>
          <w:sz w:val="20"/>
          <w:szCs w:val="20"/>
          <w:shd w:val="clear" w:color="auto" w:fill="FFFFFF"/>
        </w:rPr>
        <w:instrText>ADDIN CSL_CITATION { "citationItems" : [ { "id" : "ITEM-1", "itemData" : { "DOI" : "10.1109/57.675572", "ISBN" : "0883-7554 VO  - 14", "abstract" : "Nearly all load bearing transformers in electric power delivery systems around the world are filled with liquid. The liquid functions both as an electrical insulation and as a heat transfer fluid. The liquid in almost all of these units is transformer oil, petroleum-based insulating oil refined specifically to meet the requirements of this application. Transformers in electric power distribution and transmission systems are expected to function reliably and efficiently and to do this for many years. The quality of the oil in a transformer plays an important role in performing this function, and the characteristics of transformer oil have been examined and reported on for decades. This article discusses some of these characteristics and the relationships between these characteristics and the production and in-service performance of mineral transformer oil. Transformer oil is used around the world, but the emphasis here is on practices in the United States.", "author" : [ { "dropping-particle" : "", "family" : "Rouse", "given" : "T O", "non-dropping-particle" : "", "parse-names" : false, "suffix" : "" } ], "container-title" : "Electrical Insulation Magazine, IEEE", "id" : "ITEM-1", "issue" : "3", "issued" : { "date-parts" : [ [ "1998" ] ] }, "page" : "6-16", "title" : "Mineral insulating oil in transformers", "type" : "article", "volume" : "14" }, "uris" : [ "http://www.mendeley.com/documents/?uuid=598cd7a8-2e87-4877-9be3-2f019ae4487a" ] } ], "mendeley" : { "formattedCitation" : "[3]", "plainTextFormattedCitation" : "[3]", "previouslyFormattedCitation" : "[3]" }, "properties" : { "noteIndex" : 0 }, "schema" : "https://github.com/citation-style-language/schema/raw/master/csl-citation.json" }</w:instrText>
      </w:r>
      <w:r w:rsidR="00382076" w:rsidRPr="00D2601A">
        <w:rPr>
          <w:rFonts w:ascii="Times New Roman" w:hAnsi="Times New Roman" w:cs="Times New Roman"/>
          <w:sz w:val="20"/>
          <w:szCs w:val="20"/>
          <w:shd w:val="clear" w:color="auto" w:fill="FFFFFF"/>
        </w:rPr>
        <w:fldChar w:fldCharType="separate"/>
      </w:r>
      <w:r w:rsidR="00A745A3" w:rsidRPr="00D2601A">
        <w:rPr>
          <w:rFonts w:ascii="Times New Roman" w:hAnsi="Times New Roman" w:cs="Times New Roman"/>
          <w:noProof/>
          <w:sz w:val="20"/>
          <w:szCs w:val="20"/>
          <w:shd w:val="clear" w:color="auto" w:fill="FFFFFF"/>
        </w:rPr>
        <w:t>[2</w:t>
      </w:r>
      <w:r w:rsidRPr="00D2601A">
        <w:rPr>
          <w:rFonts w:ascii="Times New Roman" w:hAnsi="Times New Roman" w:cs="Times New Roman"/>
          <w:noProof/>
          <w:sz w:val="20"/>
          <w:szCs w:val="20"/>
          <w:shd w:val="clear" w:color="auto" w:fill="FFFFFF"/>
        </w:rPr>
        <w:t>]</w:t>
      </w:r>
      <w:r w:rsidR="00382076" w:rsidRPr="00D2601A">
        <w:rPr>
          <w:rFonts w:ascii="Times New Roman" w:hAnsi="Times New Roman" w:cs="Times New Roman"/>
          <w:sz w:val="20"/>
          <w:szCs w:val="20"/>
          <w:shd w:val="clear" w:color="auto" w:fill="FFFFFF"/>
        </w:rPr>
        <w:fldChar w:fldCharType="end"/>
      </w:r>
      <w:r w:rsidRPr="00D2601A">
        <w:rPr>
          <w:rFonts w:ascii="Times New Roman" w:hAnsi="Times New Roman" w:cs="Times New Roman"/>
          <w:sz w:val="20"/>
          <w:szCs w:val="20"/>
          <w:shd w:val="clear" w:color="auto" w:fill="FFFFFF"/>
        </w:rPr>
        <w:t>.</w:t>
      </w:r>
    </w:p>
    <w:p w:rsidR="00913C46" w:rsidRPr="00D2601A" w:rsidRDefault="00143CC1" w:rsidP="00D2601A">
      <w:pPr>
        <w:spacing w:after="0" w:line="240" w:lineRule="auto"/>
        <w:jc w:val="both"/>
        <w:rPr>
          <w:rFonts w:ascii="Times New Roman" w:eastAsia="Times New Roman" w:hAnsi="Times New Roman" w:cs="Times New Roman"/>
          <w:sz w:val="20"/>
          <w:szCs w:val="20"/>
        </w:rPr>
      </w:pPr>
      <w:r w:rsidRPr="00D2601A">
        <w:rPr>
          <w:rFonts w:ascii="Times New Roman" w:hAnsi="Times New Roman" w:cs="Times New Roman"/>
          <w:sz w:val="20"/>
          <w:szCs w:val="20"/>
          <w:shd w:val="clear" w:color="auto" w:fill="FFFFFF"/>
        </w:rPr>
        <w:t xml:space="preserve">Group I </w:t>
      </w:r>
      <w:r w:rsidR="007659A2" w:rsidRPr="00D2601A">
        <w:rPr>
          <w:rFonts w:ascii="Times New Roman" w:hAnsi="Times New Roman" w:cs="Times New Roman"/>
          <w:sz w:val="20"/>
          <w:szCs w:val="20"/>
          <w:shd w:val="clear" w:color="auto" w:fill="FFFFFF"/>
        </w:rPr>
        <w:t>b</w:t>
      </w:r>
      <w:r w:rsidRPr="00D2601A">
        <w:rPr>
          <w:rFonts w:ascii="Times New Roman" w:hAnsi="Times New Roman" w:cs="Times New Roman"/>
          <w:sz w:val="20"/>
          <w:szCs w:val="20"/>
          <w:shd w:val="clear" w:color="auto" w:fill="FFFFFF"/>
        </w:rPr>
        <w:t>ase oil</w:t>
      </w:r>
      <w:r w:rsidR="00C573BB" w:rsidRPr="00D2601A">
        <w:rPr>
          <w:rFonts w:ascii="Times New Roman" w:hAnsi="Times New Roman" w:cs="Times New Roman"/>
          <w:sz w:val="20"/>
          <w:szCs w:val="20"/>
          <w:shd w:val="clear" w:color="auto" w:fill="FFFFFF"/>
        </w:rPr>
        <w:t xml:space="preserve">s </w:t>
      </w:r>
      <w:r w:rsidR="007659A2" w:rsidRPr="00D2601A">
        <w:rPr>
          <w:rFonts w:ascii="Times New Roman" w:hAnsi="Times New Roman" w:cs="Times New Roman"/>
          <w:sz w:val="20"/>
          <w:szCs w:val="20"/>
          <w:shd w:val="clear" w:color="auto" w:fill="FFFFFF"/>
        </w:rPr>
        <w:t xml:space="preserve">contain </w:t>
      </w:r>
      <w:r w:rsidR="00913C46" w:rsidRPr="00D2601A">
        <w:rPr>
          <w:rFonts w:ascii="Times New Roman" w:hAnsi="Times New Roman" w:cs="Times New Roman"/>
          <w:sz w:val="20"/>
          <w:szCs w:val="20"/>
          <w:shd w:val="clear" w:color="auto" w:fill="FFFFFF"/>
        </w:rPr>
        <w:t>less than 90 percent saturates, greater than 0.03 percent sulfur and with a vis</w:t>
      </w:r>
      <w:r w:rsidRPr="00D2601A">
        <w:rPr>
          <w:rFonts w:ascii="Times New Roman" w:hAnsi="Times New Roman" w:cs="Times New Roman"/>
          <w:sz w:val="20"/>
          <w:szCs w:val="20"/>
          <w:shd w:val="clear" w:color="auto" w:fill="FFFFFF"/>
        </w:rPr>
        <w:t xml:space="preserve">cosity-index range of 80 to 120 </w:t>
      </w:r>
      <w:r w:rsidR="00382076" w:rsidRPr="00D2601A">
        <w:rPr>
          <w:rFonts w:ascii="Times New Roman" w:hAnsi="Times New Roman" w:cs="Times New Roman"/>
          <w:sz w:val="20"/>
          <w:szCs w:val="20"/>
          <w:shd w:val="clear" w:color="auto" w:fill="FFFFFF"/>
        </w:rPr>
        <w:fldChar w:fldCharType="begin" w:fldLock="1"/>
      </w:r>
      <w:r w:rsidR="00913C46" w:rsidRPr="00D2601A">
        <w:rPr>
          <w:rFonts w:ascii="Times New Roman" w:hAnsi="Times New Roman" w:cs="Times New Roman"/>
          <w:sz w:val="20"/>
          <w:szCs w:val="20"/>
          <w:shd w:val="clear" w:color="auto" w:fill="FFFFFF"/>
        </w:rPr>
        <w:instrText>ADDIN CSL_CITATION { "citationItems" : [ { "id" : "ITEM-1", "itemData" : { "author" : [ { "dropping-particle" : "", "family" : "Petran", "given" : "Jasenka", "non-dropping-particle" : "", "parse-names" : false, "suffix" : "" }, { "dropping-particle" : "", "family" : "Polenus", "given" : "Irena", "non-dropping-particle" : "", "parse-names" : false, "suffix" : "" } ], "id" : "ITEM-1", "issued" : { "date-parts" : [ [ "0" ] ] }, "page" : "211-228", "title" : "Possibility of Biodegradable Base Oils Application in Neat Metalworking Oils", "type" : "article-journal" }, "uris" : [ "http://www.mendeley.com/documents/?uuid=9cfea4c5-f70e-4ee8-b709-e275b7a71d1c" ] } ], "mendeley" : { "formattedCitation" : "[4]", "plainTextFormattedCitation" : "[4]", "previouslyFormattedCitation" : "[4]" }, "properties" : { "noteIndex" : 0 }, "schema" : "https://github.com/citation-style-language/schema/raw/master/csl-citation.json" }</w:instrText>
      </w:r>
      <w:r w:rsidR="00382076" w:rsidRPr="00D2601A">
        <w:rPr>
          <w:rFonts w:ascii="Times New Roman" w:hAnsi="Times New Roman" w:cs="Times New Roman"/>
          <w:sz w:val="20"/>
          <w:szCs w:val="20"/>
          <w:shd w:val="clear" w:color="auto" w:fill="FFFFFF"/>
        </w:rPr>
        <w:fldChar w:fldCharType="separate"/>
      </w:r>
      <w:r w:rsidR="00A745A3" w:rsidRPr="00D2601A">
        <w:rPr>
          <w:rFonts w:ascii="Times New Roman" w:hAnsi="Times New Roman" w:cs="Times New Roman"/>
          <w:noProof/>
          <w:sz w:val="20"/>
          <w:szCs w:val="20"/>
          <w:shd w:val="clear" w:color="auto" w:fill="FFFFFF"/>
        </w:rPr>
        <w:t>[3</w:t>
      </w:r>
      <w:r w:rsidR="00913C46" w:rsidRPr="00D2601A">
        <w:rPr>
          <w:rFonts w:ascii="Times New Roman" w:hAnsi="Times New Roman" w:cs="Times New Roman"/>
          <w:noProof/>
          <w:sz w:val="20"/>
          <w:szCs w:val="20"/>
          <w:shd w:val="clear" w:color="auto" w:fill="FFFFFF"/>
        </w:rPr>
        <w:t>]</w:t>
      </w:r>
      <w:r w:rsidR="00382076" w:rsidRPr="00D2601A">
        <w:rPr>
          <w:rFonts w:ascii="Times New Roman" w:hAnsi="Times New Roman" w:cs="Times New Roman"/>
          <w:sz w:val="20"/>
          <w:szCs w:val="20"/>
          <w:shd w:val="clear" w:color="auto" w:fill="FFFFFF"/>
        </w:rPr>
        <w:fldChar w:fldCharType="end"/>
      </w:r>
      <w:r w:rsidR="00BC4D04" w:rsidRPr="00D2601A">
        <w:rPr>
          <w:rFonts w:ascii="Times New Roman" w:hAnsi="Times New Roman" w:cs="Times New Roman"/>
          <w:sz w:val="20"/>
          <w:szCs w:val="20"/>
          <w:shd w:val="clear" w:color="auto" w:fill="FFFFFF"/>
        </w:rPr>
        <w:t xml:space="preserve">. Group I </w:t>
      </w:r>
      <w:r w:rsidR="007659A2" w:rsidRPr="00D2601A">
        <w:rPr>
          <w:rFonts w:ascii="Times New Roman" w:hAnsi="Times New Roman" w:cs="Times New Roman"/>
          <w:sz w:val="20"/>
          <w:szCs w:val="20"/>
          <w:shd w:val="clear" w:color="auto" w:fill="FFFFFF"/>
        </w:rPr>
        <w:t>base</w:t>
      </w:r>
      <w:r w:rsidR="00BC4D04" w:rsidRPr="00D2601A">
        <w:rPr>
          <w:rFonts w:ascii="Times New Roman" w:hAnsi="Times New Roman" w:cs="Times New Roman"/>
          <w:sz w:val="20"/>
          <w:szCs w:val="20"/>
          <w:shd w:val="clear" w:color="auto" w:fill="FFFFFF"/>
        </w:rPr>
        <w:t xml:space="preserve"> oils are solvent </w:t>
      </w:r>
      <w:r w:rsidR="00913C46" w:rsidRPr="00D2601A">
        <w:rPr>
          <w:rFonts w:ascii="Times New Roman" w:hAnsi="Times New Roman" w:cs="Times New Roman"/>
          <w:sz w:val="20"/>
          <w:szCs w:val="20"/>
          <w:shd w:val="clear" w:color="auto" w:fill="FFFFFF"/>
        </w:rPr>
        <w:t xml:space="preserve">refined, which is a simpler refining process. That is why they are the cheapest </w:t>
      </w:r>
      <w:r w:rsidR="007659A2" w:rsidRPr="00D2601A">
        <w:rPr>
          <w:rFonts w:ascii="Times New Roman" w:hAnsi="Times New Roman" w:cs="Times New Roman"/>
          <w:sz w:val="20"/>
          <w:szCs w:val="20"/>
          <w:shd w:val="clear" w:color="auto" w:fill="FFFFFF"/>
        </w:rPr>
        <w:t>b</w:t>
      </w:r>
      <w:r w:rsidR="00913C46" w:rsidRPr="00D2601A">
        <w:rPr>
          <w:rFonts w:ascii="Times New Roman" w:hAnsi="Times New Roman" w:cs="Times New Roman"/>
          <w:sz w:val="20"/>
          <w:szCs w:val="20"/>
          <w:shd w:val="clear" w:color="auto" w:fill="FFFFFF"/>
        </w:rPr>
        <w:t>ase oils in the market.</w:t>
      </w:r>
      <w:r w:rsidR="000D572B" w:rsidRPr="00D2601A">
        <w:rPr>
          <w:rFonts w:ascii="Times New Roman" w:hAnsi="Times New Roman" w:cs="Times New Roman"/>
          <w:sz w:val="20"/>
          <w:szCs w:val="20"/>
          <w:shd w:val="clear" w:color="auto" w:fill="FFFFFF"/>
        </w:rPr>
        <w:t xml:space="preserve"> </w:t>
      </w:r>
      <w:r w:rsidR="00913C46" w:rsidRPr="00D2601A">
        <w:rPr>
          <w:rFonts w:ascii="Times New Roman" w:eastAsia="Times New Roman" w:hAnsi="Times New Roman" w:cs="Times New Roman"/>
          <w:sz w:val="20"/>
          <w:szCs w:val="20"/>
        </w:rPr>
        <w:t xml:space="preserve">Group II </w:t>
      </w:r>
      <w:r w:rsidR="007659A2" w:rsidRPr="00D2601A">
        <w:rPr>
          <w:rFonts w:ascii="Times New Roman" w:eastAsia="Times New Roman" w:hAnsi="Times New Roman" w:cs="Times New Roman"/>
          <w:sz w:val="20"/>
          <w:szCs w:val="20"/>
        </w:rPr>
        <w:t>b</w:t>
      </w:r>
      <w:r w:rsidR="00913C46" w:rsidRPr="00D2601A">
        <w:rPr>
          <w:rFonts w:ascii="Times New Roman" w:eastAsia="Times New Roman" w:hAnsi="Times New Roman" w:cs="Times New Roman"/>
          <w:sz w:val="20"/>
          <w:szCs w:val="20"/>
        </w:rPr>
        <w:t>ase oils are</w:t>
      </w:r>
      <w:r w:rsidR="00C573BB" w:rsidRPr="00D2601A">
        <w:rPr>
          <w:rFonts w:ascii="Times New Roman" w:eastAsia="Times New Roman" w:hAnsi="Times New Roman" w:cs="Times New Roman"/>
          <w:sz w:val="20"/>
          <w:szCs w:val="20"/>
        </w:rPr>
        <w:t xml:space="preserve"> hydrotreat</w:t>
      </w:r>
      <w:r w:rsidR="00BB5857" w:rsidRPr="00D2601A">
        <w:rPr>
          <w:rFonts w:ascii="Times New Roman" w:eastAsia="Times New Roman" w:hAnsi="Times New Roman" w:cs="Times New Roman"/>
          <w:sz w:val="20"/>
          <w:szCs w:val="20"/>
        </w:rPr>
        <w:t>ed</w:t>
      </w:r>
      <w:r w:rsidR="00C573BB" w:rsidRPr="00D2601A">
        <w:rPr>
          <w:rFonts w:ascii="Times New Roman" w:eastAsia="Times New Roman" w:hAnsi="Times New Roman" w:cs="Times New Roman"/>
          <w:sz w:val="20"/>
          <w:szCs w:val="20"/>
        </w:rPr>
        <w:t xml:space="preserve"> and</w:t>
      </w:r>
      <w:r w:rsidR="00913C46" w:rsidRPr="00D2601A">
        <w:rPr>
          <w:rFonts w:ascii="Times New Roman" w:eastAsia="Times New Roman" w:hAnsi="Times New Roman" w:cs="Times New Roman"/>
          <w:sz w:val="20"/>
          <w:szCs w:val="20"/>
        </w:rPr>
        <w:t xml:space="preserve"> </w:t>
      </w:r>
      <w:r w:rsidR="007659A2" w:rsidRPr="00D2601A">
        <w:rPr>
          <w:rFonts w:ascii="Times New Roman" w:eastAsia="Times New Roman" w:hAnsi="Times New Roman" w:cs="Times New Roman"/>
          <w:sz w:val="20"/>
          <w:szCs w:val="20"/>
        </w:rPr>
        <w:t xml:space="preserve">contain </w:t>
      </w:r>
      <w:r w:rsidR="00913C46" w:rsidRPr="00D2601A">
        <w:rPr>
          <w:rFonts w:ascii="Times New Roman" w:eastAsia="Times New Roman" w:hAnsi="Times New Roman" w:cs="Times New Roman"/>
          <w:sz w:val="20"/>
          <w:szCs w:val="20"/>
        </w:rPr>
        <w:t>more than 90 percent saturates</w:t>
      </w:r>
      <w:r w:rsidR="007659A2" w:rsidRPr="00D2601A">
        <w:rPr>
          <w:rFonts w:ascii="Times New Roman" w:eastAsia="Times New Roman" w:hAnsi="Times New Roman" w:cs="Times New Roman"/>
          <w:sz w:val="20"/>
          <w:szCs w:val="20"/>
        </w:rPr>
        <w:t>,</w:t>
      </w:r>
      <w:r w:rsidR="00913C46" w:rsidRPr="00D2601A">
        <w:rPr>
          <w:rFonts w:ascii="Times New Roman" w:eastAsia="Times New Roman" w:hAnsi="Times New Roman" w:cs="Times New Roman"/>
          <w:sz w:val="20"/>
          <w:szCs w:val="20"/>
        </w:rPr>
        <w:t xml:space="preserve"> less than 0.03 percent sulfur and with a viscosity index of 80 to 120 </w:t>
      </w:r>
      <w:r w:rsidR="00382076" w:rsidRPr="00D2601A">
        <w:rPr>
          <w:rFonts w:ascii="Times New Roman" w:eastAsia="Times New Roman" w:hAnsi="Times New Roman" w:cs="Times New Roman"/>
          <w:sz w:val="20"/>
          <w:szCs w:val="20"/>
        </w:rPr>
        <w:fldChar w:fldCharType="begin" w:fldLock="1"/>
      </w:r>
      <w:r w:rsidR="00913C46" w:rsidRPr="00D2601A">
        <w:rPr>
          <w:rFonts w:ascii="Times New Roman" w:eastAsia="Times New Roman" w:hAnsi="Times New Roman" w:cs="Times New Roman"/>
          <w:sz w:val="20"/>
          <w:szCs w:val="20"/>
        </w:rPr>
        <w:instrText>ADDIN CSL_CITATION { "citationItems" : [ { "id" : "ITEM-1", "itemData" : { "author" : [ { "dropping-particle" : "", "family" : "Petran", "given" : "Jasenka", "non-dropping-particle" : "", "parse-names" : false, "suffix" : "" }, { "dropping-particle" : "", "family" : "Polenus", "given" : "Irena", "non-dropping-particle" : "", "parse-names" : false, "suffix" : "" } ], "id" : "ITEM-1", "issued" : { "date-parts" : [ [ "0" ] ] }, "page" : "211-228", "title" : "Possibility of Biodegradable Base Oils Application in Neat Metalworking Oils", "type" : "article-journal" }, "uris" : [ "http://www.mendeley.com/documents/?uuid=9cfea4c5-f70e-4ee8-b709-e275b7a71d1c" ] } ], "mendeley" : { "formattedCitation" : "[4]", "plainTextFormattedCitation" : "[4]", "previouslyFormattedCitation" : "[4]" }, "properties" : { "noteIndex" : 0 }, "schema" : "https://github.com/citation-style-language/schema/raw/master/csl-citation.json" }</w:instrText>
      </w:r>
      <w:r w:rsidR="00382076" w:rsidRPr="00D2601A">
        <w:rPr>
          <w:rFonts w:ascii="Times New Roman" w:eastAsia="Times New Roman" w:hAnsi="Times New Roman" w:cs="Times New Roman"/>
          <w:sz w:val="20"/>
          <w:szCs w:val="20"/>
        </w:rPr>
        <w:fldChar w:fldCharType="separate"/>
      </w:r>
      <w:r w:rsidR="00A745A3" w:rsidRPr="00D2601A">
        <w:rPr>
          <w:rFonts w:ascii="Times New Roman" w:eastAsia="Times New Roman" w:hAnsi="Times New Roman" w:cs="Times New Roman"/>
          <w:noProof/>
          <w:sz w:val="20"/>
          <w:szCs w:val="20"/>
        </w:rPr>
        <w:t>[3</w:t>
      </w:r>
      <w:r w:rsidR="00913C46" w:rsidRPr="00D2601A">
        <w:rPr>
          <w:rFonts w:ascii="Times New Roman" w:eastAsia="Times New Roman" w:hAnsi="Times New Roman" w:cs="Times New Roman"/>
          <w:noProof/>
          <w:sz w:val="20"/>
          <w:szCs w:val="20"/>
        </w:rPr>
        <w:t>]</w:t>
      </w:r>
      <w:r w:rsidR="00382076" w:rsidRPr="00D2601A">
        <w:rPr>
          <w:rFonts w:ascii="Times New Roman" w:eastAsia="Times New Roman" w:hAnsi="Times New Roman" w:cs="Times New Roman"/>
          <w:sz w:val="20"/>
          <w:szCs w:val="20"/>
        </w:rPr>
        <w:fldChar w:fldCharType="end"/>
      </w:r>
      <w:r w:rsidR="00913C46" w:rsidRPr="00D2601A">
        <w:rPr>
          <w:rFonts w:ascii="Times New Roman" w:eastAsia="Times New Roman" w:hAnsi="Times New Roman" w:cs="Times New Roman"/>
          <w:sz w:val="20"/>
          <w:szCs w:val="20"/>
        </w:rPr>
        <w:t xml:space="preserve">. Group II </w:t>
      </w:r>
      <w:r w:rsidR="007659A2" w:rsidRPr="00D2601A">
        <w:rPr>
          <w:rFonts w:ascii="Times New Roman" w:eastAsia="Times New Roman" w:hAnsi="Times New Roman" w:cs="Times New Roman"/>
          <w:sz w:val="20"/>
          <w:szCs w:val="20"/>
        </w:rPr>
        <w:t>base</w:t>
      </w:r>
      <w:r w:rsidR="00913C46" w:rsidRPr="00D2601A">
        <w:rPr>
          <w:rFonts w:ascii="Times New Roman" w:eastAsia="Times New Roman" w:hAnsi="Times New Roman" w:cs="Times New Roman"/>
          <w:sz w:val="20"/>
          <w:szCs w:val="20"/>
        </w:rPr>
        <w:t xml:space="preserve"> oils have better anti</w:t>
      </w:r>
      <w:r w:rsidR="00F22DA2" w:rsidRPr="00D2601A">
        <w:rPr>
          <w:rFonts w:ascii="Times New Roman" w:eastAsia="Times New Roman" w:hAnsi="Times New Roman" w:cs="Times New Roman"/>
          <w:sz w:val="20"/>
          <w:szCs w:val="20"/>
        </w:rPr>
        <w:t>-</w:t>
      </w:r>
      <w:r w:rsidR="00913C46" w:rsidRPr="00D2601A">
        <w:rPr>
          <w:rFonts w:ascii="Times New Roman" w:eastAsia="Times New Roman" w:hAnsi="Times New Roman" w:cs="Times New Roman"/>
          <w:sz w:val="20"/>
          <w:szCs w:val="20"/>
        </w:rPr>
        <w:t xml:space="preserve">oxidation properties. They also have a clearer color. Group II </w:t>
      </w:r>
      <w:r w:rsidR="007659A2" w:rsidRPr="00D2601A">
        <w:rPr>
          <w:rFonts w:ascii="Times New Roman" w:eastAsia="Times New Roman" w:hAnsi="Times New Roman" w:cs="Times New Roman"/>
          <w:sz w:val="20"/>
          <w:szCs w:val="20"/>
        </w:rPr>
        <w:t>base</w:t>
      </w:r>
      <w:r w:rsidR="00913C46" w:rsidRPr="00D2601A">
        <w:rPr>
          <w:rFonts w:ascii="Times New Roman" w:eastAsia="Times New Roman" w:hAnsi="Times New Roman" w:cs="Times New Roman"/>
          <w:sz w:val="20"/>
          <w:szCs w:val="20"/>
        </w:rPr>
        <w:t xml:space="preserve"> oils are imported and cost more in comparison to Group I </w:t>
      </w:r>
      <w:r w:rsidR="007659A2" w:rsidRPr="00D2601A">
        <w:rPr>
          <w:rFonts w:ascii="Times New Roman" w:eastAsia="Times New Roman" w:hAnsi="Times New Roman" w:cs="Times New Roman"/>
          <w:sz w:val="20"/>
          <w:szCs w:val="20"/>
        </w:rPr>
        <w:t>base</w:t>
      </w:r>
      <w:r w:rsidR="00913C46" w:rsidRPr="00D2601A">
        <w:rPr>
          <w:rFonts w:ascii="Times New Roman" w:eastAsia="Times New Roman" w:hAnsi="Times New Roman" w:cs="Times New Roman"/>
          <w:sz w:val="20"/>
          <w:szCs w:val="20"/>
        </w:rPr>
        <w:t xml:space="preserve"> oils.</w:t>
      </w:r>
    </w:p>
    <w:p w:rsidR="00824D4E" w:rsidRPr="00D2601A" w:rsidRDefault="008F2436" w:rsidP="00D2601A">
      <w:pPr>
        <w:spacing w:after="0" w:line="240" w:lineRule="auto"/>
        <w:jc w:val="both"/>
        <w:rPr>
          <w:rFonts w:ascii="Times New Roman" w:eastAsia="Times New Roman" w:hAnsi="Times New Roman" w:cs="Times New Roman"/>
          <w:color w:val="000000" w:themeColor="text1"/>
          <w:sz w:val="20"/>
          <w:szCs w:val="20"/>
        </w:rPr>
      </w:pPr>
      <w:r w:rsidRPr="00D2601A">
        <w:rPr>
          <w:rFonts w:ascii="Times New Roman" w:eastAsia="Times New Roman" w:hAnsi="Times New Roman" w:cs="Times New Roman"/>
          <w:sz w:val="20"/>
          <w:szCs w:val="20"/>
        </w:rPr>
        <w:t xml:space="preserve">The </w:t>
      </w:r>
      <w:r w:rsidR="00F22DA2" w:rsidRPr="00D2601A">
        <w:rPr>
          <w:rFonts w:ascii="Times New Roman" w:eastAsia="Times New Roman" w:hAnsi="Times New Roman" w:cs="Times New Roman"/>
          <w:sz w:val="20"/>
          <w:szCs w:val="20"/>
        </w:rPr>
        <w:t>procedure for the purification of oil consists</w:t>
      </w:r>
      <w:r w:rsidRPr="00D2601A">
        <w:rPr>
          <w:rFonts w:ascii="Times New Roman" w:eastAsia="Times New Roman" w:hAnsi="Times New Roman" w:cs="Times New Roman"/>
          <w:sz w:val="20"/>
          <w:szCs w:val="20"/>
        </w:rPr>
        <w:t xml:space="preserve"> of filtration of the oil before subjecting to treatment using</w:t>
      </w:r>
      <w:r w:rsidR="000D572B" w:rsidRPr="00D2601A">
        <w:rPr>
          <w:rFonts w:ascii="Times New Roman" w:eastAsia="Times New Roman" w:hAnsi="Times New Roman" w:cs="Times New Roman"/>
          <w:sz w:val="20"/>
          <w:szCs w:val="20"/>
        </w:rPr>
        <w:t xml:space="preserve"> </w:t>
      </w:r>
      <w:r w:rsidRPr="00D2601A">
        <w:rPr>
          <w:rFonts w:ascii="Times New Roman" w:eastAsia="Times New Roman" w:hAnsi="Times New Roman" w:cs="Times New Roman"/>
          <w:sz w:val="20"/>
          <w:szCs w:val="20"/>
        </w:rPr>
        <w:t xml:space="preserve">acid/clay, distillation/clay, </w:t>
      </w:r>
      <w:r w:rsidR="00F22DA2" w:rsidRPr="00D2601A">
        <w:rPr>
          <w:rFonts w:ascii="Times New Roman" w:eastAsia="Times New Roman" w:hAnsi="Times New Roman" w:cs="Times New Roman"/>
          <w:sz w:val="20"/>
          <w:szCs w:val="20"/>
        </w:rPr>
        <w:t xml:space="preserve">and </w:t>
      </w:r>
      <w:r w:rsidR="007659A2" w:rsidRPr="00D2601A">
        <w:rPr>
          <w:rFonts w:ascii="Times New Roman" w:eastAsia="Times New Roman" w:hAnsi="Times New Roman" w:cs="Times New Roman"/>
          <w:sz w:val="20"/>
          <w:szCs w:val="20"/>
        </w:rPr>
        <w:t>a</w:t>
      </w:r>
      <w:r w:rsidR="00F22DA2" w:rsidRPr="00D2601A">
        <w:rPr>
          <w:rFonts w:ascii="Times New Roman" w:eastAsia="Times New Roman" w:hAnsi="Times New Roman" w:cs="Times New Roman"/>
          <w:sz w:val="20"/>
          <w:szCs w:val="20"/>
        </w:rPr>
        <w:t>cid</w:t>
      </w:r>
      <w:r w:rsidR="009F0FF9" w:rsidRPr="00D2601A">
        <w:rPr>
          <w:rFonts w:ascii="Times New Roman" w:eastAsia="Times New Roman" w:hAnsi="Times New Roman" w:cs="Times New Roman"/>
          <w:sz w:val="20"/>
          <w:szCs w:val="20"/>
        </w:rPr>
        <w:t xml:space="preserve"> treatment</w:t>
      </w:r>
      <w:r w:rsidR="000F39EC" w:rsidRPr="00D2601A">
        <w:rPr>
          <w:rFonts w:ascii="Times New Roman" w:eastAsia="Times New Roman" w:hAnsi="Times New Roman" w:cs="Times New Roman"/>
          <w:sz w:val="20"/>
          <w:szCs w:val="20"/>
        </w:rPr>
        <w:t xml:space="preserve"> with</w:t>
      </w:r>
      <w:r w:rsidR="00FD61F1" w:rsidRPr="00D2601A">
        <w:rPr>
          <w:rFonts w:ascii="Times New Roman" w:eastAsia="Times New Roman" w:hAnsi="Times New Roman" w:cs="Times New Roman"/>
          <w:sz w:val="20"/>
          <w:szCs w:val="20"/>
        </w:rPr>
        <w:t xml:space="preserve"> activated charcoal</w:t>
      </w:r>
      <w:r w:rsidRPr="00D2601A">
        <w:rPr>
          <w:rFonts w:ascii="Times New Roman" w:eastAsia="Times New Roman" w:hAnsi="Times New Roman" w:cs="Times New Roman"/>
          <w:sz w:val="20"/>
          <w:szCs w:val="20"/>
        </w:rPr>
        <w:t xml:space="preserve"> treatment methods</w:t>
      </w:r>
      <w:r w:rsidR="00A745A3" w:rsidRPr="00D2601A">
        <w:rPr>
          <w:rFonts w:ascii="Times New Roman" w:eastAsia="Times New Roman" w:hAnsi="Times New Roman" w:cs="Times New Roman"/>
          <w:sz w:val="20"/>
          <w:szCs w:val="20"/>
        </w:rPr>
        <w:t xml:space="preserve"> [4</w:t>
      </w:r>
      <w:r w:rsidR="00CD13E3" w:rsidRPr="00D2601A">
        <w:rPr>
          <w:rFonts w:ascii="Times New Roman" w:eastAsia="Times New Roman" w:hAnsi="Times New Roman" w:cs="Times New Roman"/>
          <w:color w:val="000000" w:themeColor="text1"/>
          <w:sz w:val="20"/>
          <w:szCs w:val="20"/>
        </w:rPr>
        <w:t>]</w:t>
      </w:r>
      <w:r w:rsidR="00727BB0" w:rsidRPr="00D2601A">
        <w:rPr>
          <w:rFonts w:ascii="Times New Roman" w:eastAsia="Times New Roman" w:hAnsi="Times New Roman" w:cs="Times New Roman"/>
          <w:color w:val="000000" w:themeColor="text1"/>
          <w:sz w:val="20"/>
          <w:szCs w:val="20"/>
        </w:rPr>
        <w:t>.</w:t>
      </w:r>
      <w:r w:rsidR="006669D9" w:rsidRPr="00D2601A">
        <w:rPr>
          <w:rFonts w:ascii="Times New Roman" w:eastAsia="Times New Roman" w:hAnsi="Times New Roman" w:cs="Times New Roman"/>
          <w:color w:val="000000" w:themeColor="text1"/>
          <w:sz w:val="20"/>
          <w:szCs w:val="20"/>
        </w:rPr>
        <w:t xml:space="preserve"> Many studies have reported that bleaching of oil using acid activated clays </w:t>
      </w:r>
      <w:r w:rsidR="001F0209" w:rsidRPr="00D2601A">
        <w:rPr>
          <w:rFonts w:ascii="Times New Roman" w:eastAsia="Times New Roman" w:hAnsi="Times New Roman" w:cs="Times New Roman"/>
          <w:color w:val="000000" w:themeColor="text1"/>
          <w:sz w:val="20"/>
          <w:szCs w:val="20"/>
        </w:rPr>
        <w:t>i</w:t>
      </w:r>
      <w:r w:rsidR="006669D9" w:rsidRPr="00D2601A">
        <w:rPr>
          <w:rFonts w:ascii="Times New Roman" w:eastAsia="Times New Roman" w:hAnsi="Times New Roman" w:cs="Times New Roman"/>
          <w:color w:val="000000" w:themeColor="text1"/>
          <w:sz w:val="20"/>
          <w:szCs w:val="20"/>
        </w:rPr>
        <w:t xml:space="preserve">s a successful treatment method </w:t>
      </w:r>
      <w:r w:rsidR="0026320E" w:rsidRPr="00D2601A">
        <w:rPr>
          <w:rFonts w:ascii="Times New Roman" w:eastAsia="Times New Roman" w:hAnsi="Times New Roman" w:cs="Times New Roman"/>
          <w:color w:val="000000" w:themeColor="text1"/>
          <w:sz w:val="20"/>
          <w:szCs w:val="20"/>
        </w:rPr>
        <w:t>[</w:t>
      </w:r>
      <w:r w:rsidR="00A745A3" w:rsidRPr="00D2601A">
        <w:rPr>
          <w:rFonts w:ascii="Times New Roman" w:eastAsia="Times New Roman" w:hAnsi="Times New Roman" w:cs="Times New Roman"/>
          <w:color w:val="000000" w:themeColor="text1"/>
          <w:sz w:val="20"/>
          <w:szCs w:val="20"/>
        </w:rPr>
        <w:t>4</w:t>
      </w:r>
      <w:r w:rsidR="0026320E" w:rsidRPr="00D2601A">
        <w:rPr>
          <w:rFonts w:ascii="Times New Roman" w:eastAsia="Times New Roman" w:hAnsi="Times New Roman" w:cs="Times New Roman"/>
          <w:color w:val="000000" w:themeColor="text1"/>
          <w:sz w:val="20"/>
          <w:szCs w:val="20"/>
        </w:rPr>
        <w:t xml:space="preserve"> </w:t>
      </w:r>
      <w:r w:rsidR="006669D9" w:rsidRPr="00D2601A">
        <w:rPr>
          <w:rFonts w:ascii="Times New Roman" w:eastAsia="Times New Roman" w:hAnsi="Times New Roman" w:cs="Times New Roman"/>
          <w:color w:val="000000" w:themeColor="text1"/>
          <w:sz w:val="20"/>
          <w:szCs w:val="20"/>
        </w:rPr>
        <w:t>–</w:t>
      </w:r>
      <w:r w:rsidR="0026320E" w:rsidRPr="00D2601A">
        <w:rPr>
          <w:rFonts w:ascii="Times New Roman" w:eastAsia="Times New Roman" w:hAnsi="Times New Roman" w:cs="Times New Roman"/>
          <w:color w:val="000000" w:themeColor="text1"/>
          <w:sz w:val="20"/>
          <w:szCs w:val="20"/>
        </w:rPr>
        <w:t xml:space="preserve"> </w:t>
      </w:r>
      <w:r w:rsidR="00A745A3" w:rsidRPr="00D2601A">
        <w:rPr>
          <w:rFonts w:ascii="Times New Roman" w:eastAsia="Times New Roman" w:hAnsi="Times New Roman" w:cs="Times New Roman"/>
          <w:color w:val="000000" w:themeColor="text1"/>
          <w:sz w:val="20"/>
          <w:szCs w:val="20"/>
        </w:rPr>
        <w:t>7</w:t>
      </w:r>
      <w:r w:rsidR="006669D9" w:rsidRPr="00D2601A">
        <w:rPr>
          <w:rFonts w:ascii="Times New Roman" w:eastAsia="Times New Roman" w:hAnsi="Times New Roman" w:cs="Times New Roman"/>
          <w:color w:val="000000" w:themeColor="text1"/>
          <w:sz w:val="20"/>
          <w:szCs w:val="20"/>
        </w:rPr>
        <w:t>]</w:t>
      </w:r>
      <w:r w:rsidR="000B14EE" w:rsidRPr="00D2601A">
        <w:rPr>
          <w:rFonts w:ascii="Times New Roman" w:eastAsia="Times New Roman" w:hAnsi="Times New Roman" w:cs="Times New Roman"/>
          <w:color w:val="000000" w:themeColor="text1"/>
          <w:sz w:val="20"/>
          <w:szCs w:val="20"/>
        </w:rPr>
        <w:t>.</w:t>
      </w:r>
    </w:p>
    <w:p w:rsidR="009C501C" w:rsidRPr="00D2601A" w:rsidRDefault="00F35596" w:rsidP="00AF7DA0">
      <w:pPr>
        <w:spacing w:after="0" w:line="240" w:lineRule="auto"/>
        <w:jc w:val="both"/>
        <w:rPr>
          <w:rFonts w:ascii="Times New Roman" w:eastAsia="Times New Roman" w:hAnsi="Times New Roman" w:cs="Times New Roman"/>
          <w:sz w:val="20"/>
          <w:szCs w:val="20"/>
        </w:rPr>
      </w:pPr>
      <w:r w:rsidRPr="00D2601A">
        <w:rPr>
          <w:rFonts w:ascii="Times New Roman" w:eastAsia="Times New Roman" w:hAnsi="Times New Roman" w:cs="Times New Roman"/>
          <w:sz w:val="20"/>
          <w:szCs w:val="20"/>
        </w:rPr>
        <w:t>In acid treatment process</w:t>
      </w:r>
      <w:r w:rsidR="007659A2" w:rsidRPr="00D2601A">
        <w:rPr>
          <w:rFonts w:ascii="Times New Roman" w:eastAsia="Times New Roman" w:hAnsi="Times New Roman" w:cs="Times New Roman"/>
          <w:sz w:val="20"/>
          <w:szCs w:val="20"/>
        </w:rPr>
        <w:t>,</w:t>
      </w:r>
      <w:r w:rsidRPr="00D2601A">
        <w:rPr>
          <w:rFonts w:ascii="Times New Roman" w:eastAsia="Times New Roman" w:hAnsi="Times New Roman" w:cs="Times New Roman"/>
          <w:sz w:val="20"/>
          <w:szCs w:val="20"/>
        </w:rPr>
        <w:t xml:space="preserve"> </w:t>
      </w:r>
      <w:r w:rsidR="000E7DF7" w:rsidRPr="00D2601A">
        <w:rPr>
          <w:rFonts w:ascii="Times New Roman" w:eastAsia="Times New Roman" w:hAnsi="Times New Roman" w:cs="Times New Roman"/>
          <w:color w:val="000000" w:themeColor="text1"/>
          <w:sz w:val="20"/>
          <w:szCs w:val="20"/>
        </w:rPr>
        <w:t xml:space="preserve">oil is treated </w:t>
      </w:r>
      <w:r w:rsidR="007D1761" w:rsidRPr="00D2601A">
        <w:rPr>
          <w:rFonts w:ascii="Times New Roman" w:eastAsia="Times New Roman" w:hAnsi="Times New Roman" w:cs="Times New Roman"/>
          <w:sz w:val="20"/>
          <w:szCs w:val="20"/>
        </w:rPr>
        <w:t>with</w:t>
      </w:r>
      <w:r w:rsidRPr="00D2601A">
        <w:rPr>
          <w:rFonts w:ascii="Times New Roman" w:eastAsia="Times New Roman" w:hAnsi="Times New Roman" w:cs="Times New Roman"/>
          <w:sz w:val="20"/>
          <w:szCs w:val="20"/>
        </w:rPr>
        <w:t xml:space="preserve"> sulfuric acid </w:t>
      </w:r>
      <w:r w:rsidR="006C1C46" w:rsidRPr="00D2601A">
        <w:rPr>
          <w:rFonts w:ascii="Times New Roman" w:eastAsia="Times New Roman" w:hAnsi="Times New Roman" w:cs="Times New Roman"/>
          <w:sz w:val="20"/>
          <w:szCs w:val="20"/>
        </w:rPr>
        <w:t>to remove aromatics and other non-hydrocarbons, followed by treatment with clay to neutralize</w:t>
      </w:r>
      <w:r w:rsidR="007D1761" w:rsidRPr="00D2601A">
        <w:rPr>
          <w:rFonts w:ascii="Times New Roman" w:eastAsia="Times New Roman" w:hAnsi="Times New Roman" w:cs="Times New Roman"/>
          <w:sz w:val="20"/>
          <w:szCs w:val="20"/>
        </w:rPr>
        <w:t xml:space="preserve"> an</w:t>
      </w:r>
      <w:r w:rsidR="00B65B51" w:rsidRPr="00D2601A">
        <w:rPr>
          <w:rFonts w:ascii="Times New Roman" w:eastAsia="Times New Roman" w:hAnsi="Times New Roman" w:cs="Times New Roman"/>
          <w:sz w:val="20"/>
          <w:szCs w:val="20"/>
        </w:rPr>
        <w:t xml:space="preserve">d </w:t>
      </w:r>
      <w:r w:rsidR="007D1761" w:rsidRPr="00D2601A">
        <w:rPr>
          <w:rFonts w:ascii="Times New Roman" w:eastAsia="Times New Roman" w:hAnsi="Times New Roman" w:cs="Times New Roman"/>
          <w:sz w:val="20"/>
          <w:szCs w:val="20"/>
        </w:rPr>
        <w:t>improve</w:t>
      </w:r>
      <w:r w:rsidR="009B64DC" w:rsidRPr="00D2601A">
        <w:rPr>
          <w:rFonts w:ascii="Times New Roman" w:eastAsia="Times New Roman" w:hAnsi="Times New Roman" w:cs="Times New Roman"/>
          <w:sz w:val="20"/>
          <w:szCs w:val="20"/>
        </w:rPr>
        <w:t xml:space="preserve"> </w:t>
      </w:r>
      <w:r w:rsidR="00B65B51" w:rsidRPr="00D2601A">
        <w:rPr>
          <w:rFonts w:ascii="Times New Roman" w:eastAsia="Times New Roman" w:hAnsi="Times New Roman" w:cs="Times New Roman"/>
          <w:sz w:val="20"/>
          <w:szCs w:val="20"/>
        </w:rPr>
        <w:t>appearance,</w:t>
      </w:r>
      <w:r w:rsidR="007D1761" w:rsidRPr="00D2601A">
        <w:rPr>
          <w:rFonts w:ascii="Times New Roman" w:eastAsia="Times New Roman" w:hAnsi="Times New Roman" w:cs="Times New Roman"/>
          <w:sz w:val="20"/>
          <w:szCs w:val="20"/>
        </w:rPr>
        <w:t xml:space="preserve"> color</w:t>
      </w:r>
      <w:r w:rsidR="00B65B51" w:rsidRPr="00D2601A">
        <w:rPr>
          <w:rFonts w:ascii="Times New Roman" w:eastAsia="Times New Roman" w:hAnsi="Times New Roman" w:cs="Times New Roman"/>
          <w:sz w:val="20"/>
          <w:szCs w:val="20"/>
        </w:rPr>
        <w:t xml:space="preserve"> and </w:t>
      </w:r>
      <w:r w:rsidR="007D1761" w:rsidRPr="00D2601A">
        <w:rPr>
          <w:rFonts w:ascii="Times New Roman" w:eastAsia="Times New Roman" w:hAnsi="Times New Roman" w:cs="Times New Roman"/>
          <w:sz w:val="20"/>
          <w:szCs w:val="20"/>
        </w:rPr>
        <w:t xml:space="preserve">color stability </w:t>
      </w:r>
      <w:r w:rsidR="007659A2" w:rsidRPr="00D2601A">
        <w:rPr>
          <w:rFonts w:ascii="Times New Roman" w:eastAsia="Times New Roman" w:hAnsi="Times New Roman" w:cs="Times New Roman"/>
          <w:sz w:val="20"/>
          <w:szCs w:val="20"/>
        </w:rPr>
        <w:t>by</w:t>
      </w:r>
      <w:r w:rsidR="00B65B51" w:rsidRPr="00D2601A">
        <w:rPr>
          <w:rFonts w:ascii="Times New Roman" w:eastAsia="Times New Roman" w:hAnsi="Times New Roman" w:cs="Times New Roman"/>
          <w:sz w:val="20"/>
          <w:szCs w:val="20"/>
        </w:rPr>
        <w:t xml:space="preserve"> removing </w:t>
      </w:r>
      <w:r w:rsidR="009B64DC" w:rsidRPr="00D2601A">
        <w:rPr>
          <w:rFonts w:ascii="Times New Roman" w:eastAsia="Times New Roman" w:hAnsi="Times New Roman" w:cs="Times New Roman"/>
          <w:sz w:val="20"/>
          <w:szCs w:val="20"/>
        </w:rPr>
        <w:t>colored</w:t>
      </w:r>
      <w:r w:rsidR="00B65B51" w:rsidRPr="00D2601A">
        <w:rPr>
          <w:rFonts w:ascii="Times New Roman" w:eastAsia="Times New Roman" w:hAnsi="Times New Roman" w:cs="Times New Roman"/>
          <w:sz w:val="20"/>
          <w:szCs w:val="20"/>
        </w:rPr>
        <w:t xml:space="preserve"> and </w:t>
      </w:r>
      <w:r w:rsidR="009B64DC" w:rsidRPr="00D2601A">
        <w:rPr>
          <w:rFonts w:ascii="Times New Roman" w:eastAsia="Times New Roman" w:hAnsi="Times New Roman" w:cs="Times New Roman"/>
          <w:sz w:val="20"/>
          <w:szCs w:val="20"/>
        </w:rPr>
        <w:t>colorless</w:t>
      </w:r>
      <w:r w:rsidR="00B65B51" w:rsidRPr="00D2601A">
        <w:rPr>
          <w:rFonts w:ascii="Times New Roman" w:eastAsia="Times New Roman" w:hAnsi="Times New Roman" w:cs="Times New Roman"/>
          <w:sz w:val="20"/>
          <w:szCs w:val="20"/>
        </w:rPr>
        <w:t xml:space="preserve"> pigments </w:t>
      </w:r>
      <w:r w:rsidR="007D1761" w:rsidRPr="00D2601A">
        <w:rPr>
          <w:rFonts w:ascii="Times New Roman" w:eastAsia="Times New Roman" w:hAnsi="Times New Roman" w:cs="Times New Roman"/>
          <w:sz w:val="20"/>
          <w:szCs w:val="20"/>
        </w:rPr>
        <w:t xml:space="preserve">and </w:t>
      </w:r>
      <w:r w:rsidR="00B65B51" w:rsidRPr="00D2601A">
        <w:rPr>
          <w:rFonts w:ascii="Times New Roman" w:eastAsia="Times New Roman" w:hAnsi="Times New Roman" w:cs="Times New Roman"/>
          <w:sz w:val="20"/>
          <w:szCs w:val="20"/>
        </w:rPr>
        <w:t xml:space="preserve">also improve </w:t>
      </w:r>
      <w:r w:rsidR="007D1761" w:rsidRPr="00D2601A">
        <w:rPr>
          <w:rFonts w:ascii="Times New Roman" w:eastAsia="Times New Roman" w:hAnsi="Times New Roman" w:cs="Times New Roman"/>
          <w:sz w:val="20"/>
          <w:szCs w:val="20"/>
        </w:rPr>
        <w:t>oxidation stability</w:t>
      </w:r>
      <w:r w:rsidR="009B64DC" w:rsidRPr="00D2601A">
        <w:rPr>
          <w:rFonts w:ascii="Times New Roman" w:eastAsia="Times New Roman" w:hAnsi="Times New Roman" w:cs="Times New Roman"/>
          <w:sz w:val="20"/>
          <w:szCs w:val="20"/>
        </w:rPr>
        <w:t xml:space="preserve"> </w:t>
      </w:r>
      <w:r w:rsidR="006305C9" w:rsidRPr="00D2601A">
        <w:rPr>
          <w:rFonts w:ascii="Times New Roman" w:eastAsia="Times New Roman" w:hAnsi="Times New Roman" w:cs="Times New Roman"/>
          <w:sz w:val="20"/>
          <w:szCs w:val="20"/>
        </w:rPr>
        <w:t>of</w:t>
      </w:r>
      <w:r w:rsidR="009B64DC" w:rsidRPr="00D2601A">
        <w:rPr>
          <w:rFonts w:ascii="Times New Roman" w:eastAsia="Times New Roman" w:hAnsi="Times New Roman" w:cs="Times New Roman"/>
          <w:sz w:val="20"/>
          <w:szCs w:val="20"/>
        </w:rPr>
        <w:t xml:space="preserve"> </w:t>
      </w:r>
      <w:r w:rsidR="00B65B51" w:rsidRPr="00D2601A">
        <w:rPr>
          <w:rFonts w:ascii="Times New Roman" w:eastAsia="Times New Roman" w:hAnsi="Times New Roman" w:cs="Times New Roman"/>
          <w:sz w:val="20"/>
          <w:szCs w:val="20"/>
        </w:rPr>
        <w:t>the</w:t>
      </w:r>
      <w:r w:rsidR="009B64DC" w:rsidRPr="00D2601A">
        <w:rPr>
          <w:rFonts w:ascii="Times New Roman" w:eastAsia="Times New Roman" w:hAnsi="Times New Roman" w:cs="Times New Roman"/>
          <w:sz w:val="20"/>
          <w:szCs w:val="20"/>
        </w:rPr>
        <w:t xml:space="preserve"> </w:t>
      </w:r>
      <w:r w:rsidR="004D07BB" w:rsidRPr="00D2601A">
        <w:rPr>
          <w:rFonts w:ascii="Times New Roman" w:eastAsia="Times New Roman" w:hAnsi="Times New Roman" w:cs="Times New Roman"/>
          <w:sz w:val="20"/>
          <w:szCs w:val="20"/>
        </w:rPr>
        <w:t xml:space="preserve">final oil products </w:t>
      </w:r>
      <w:r w:rsidR="007D1761" w:rsidRPr="00D2601A">
        <w:rPr>
          <w:rFonts w:ascii="Times New Roman" w:eastAsia="Times New Roman" w:hAnsi="Times New Roman" w:cs="Times New Roman"/>
          <w:sz w:val="20"/>
          <w:szCs w:val="20"/>
        </w:rPr>
        <w:t>[</w:t>
      </w:r>
      <w:r w:rsidR="002E4C0A" w:rsidRPr="00D2601A">
        <w:rPr>
          <w:rFonts w:ascii="Times New Roman" w:eastAsia="Times New Roman" w:hAnsi="Times New Roman" w:cs="Times New Roman"/>
          <w:sz w:val="20"/>
          <w:szCs w:val="20"/>
        </w:rPr>
        <w:t>8-10</w:t>
      </w:r>
      <w:r w:rsidR="007D1761" w:rsidRPr="00D2601A">
        <w:rPr>
          <w:rFonts w:ascii="Times New Roman" w:eastAsia="Times New Roman" w:hAnsi="Times New Roman" w:cs="Times New Roman"/>
          <w:sz w:val="20"/>
          <w:szCs w:val="20"/>
        </w:rPr>
        <w:t>].</w:t>
      </w:r>
      <w:r w:rsidR="002157C1" w:rsidRPr="00D2601A">
        <w:rPr>
          <w:rFonts w:ascii="Times New Roman" w:eastAsia="Times New Roman" w:hAnsi="Times New Roman" w:cs="Times New Roman"/>
          <w:sz w:val="20"/>
          <w:szCs w:val="20"/>
        </w:rPr>
        <w:t>T</w:t>
      </w:r>
      <w:r w:rsidRPr="00D2601A">
        <w:rPr>
          <w:rFonts w:ascii="Times New Roman" w:eastAsia="Times New Roman" w:hAnsi="Times New Roman" w:cs="Times New Roman"/>
          <w:sz w:val="20"/>
          <w:szCs w:val="20"/>
        </w:rPr>
        <w:t>he acid sludge</w:t>
      </w:r>
      <w:r w:rsidR="002157C1" w:rsidRPr="00D2601A">
        <w:rPr>
          <w:rFonts w:ascii="Times New Roman" w:eastAsia="Times New Roman" w:hAnsi="Times New Roman" w:cs="Times New Roman"/>
          <w:sz w:val="20"/>
          <w:szCs w:val="20"/>
        </w:rPr>
        <w:t xml:space="preserve"> at the bottom</w:t>
      </w:r>
      <w:r w:rsidRPr="00D2601A">
        <w:rPr>
          <w:rFonts w:ascii="Times New Roman" w:eastAsia="Times New Roman" w:hAnsi="Times New Roman" w:cs="Times New Roman"/>
          <w:sz w:val="20"/>
          <w:szCs w:val="20"/>
        </w:rPr>
        <w:t xml:space="preserve"> formed from the </w:t>
      </w:r>
      <w:r w:rsidR="002157C1" w:rsidRPr="00D2601A">
        <w:rPr>
          <w:rFonts w:ascii="Times New Roman" w:eastAsia="Times New Roman" w:hAnsi="Times New Roman" w:cs="Times New Roman"/>
          <w:sz w:val="20"/>
          <w:szCs w:val="20"/>
        </w:rPr>
        <w:t xml:space="preserve">acid treatment of oil is a black or dark brown in color and </w:t>
      </w:r>
      <w:r w:rsidR="009C501C" w:rsidRPr="00D2601A">
        <w:rPr>
          <w:rFonts w:ascii="Times New Roman" w:eastAsia="Times New Roman" w:hAnsi="Times New Roman" w:cs="Times New Roman"/>
          <w:sz w:val="20"/>
          <w:szCs w:val="20"/>
        </w:rPr>
        <w:t xml:space="preserve">containing some harmful sulfonic acid and </w:t>
      </w:r>
      <w:r w:rsidR="002157C1" w:rsidRPr="00D2601A">
        <w:rPr>
          <w:rFonts w:ascii="Times New Roman" w:eastAsia="Times New Roman" w:hAnsi="Times New Roman" w:cs="Times New Roman"/>
          <w:sz w:val="20"/>
          <w:szCs w:val="20"/>
        </w:rPr>
        <w:t xml:space="preserve">some impurities </w:t>
      </w:r>
      <w:r w:rsidR="002E4C0A" w:rsidRPr="00D2601A">
        <w:rPr>
          <w:rFonts w:ascii="Times New Roman" w:eastAsia="Times New Roman" w:hAnsi="Times New Roman" w:cs="Times New Roman"/>
          <w:sz w:val="20"/>
          <w:szCs w:val="20"/>
        </w:rPr>
        <w:t>[11</w:t>
      </w:r>
      <w:r w:rsidR="00AF7DA0">
        <w:rPr>
          <w:rFonts w:ascii="Times New Roman" w:eastAsia="Times New Roman" w:hAnsi="Times New Roman" w:cs="Times New Roman"/>
          <w:sz w:val="20"/>
          <w:szCs w:val="20"/>
        </w:rPr>
        <w:t>,</w:t>
      </w:r>
      <w:r w:rsidR="002E4C0A" w:rsidRPr="00D2601A">
        <w:rPr>
          <w:rFonts w:ascii="Times New Roman" w:eastAsia="Times New Roman" w:hAnsi="Times New Roman" w:cs="Times New Roman"/>
          <w:sz w:val="20"/>
          <w:szCs w:val="20"/>
        </w:rPr>
        <w:t>12</w:t>
      </w:r>
      <w:r w:rsidR="009C501C" w:rsidRPr="00D2601A">
        <w:rPr>
          <w:rFonts w:ascii="Times New Roman" w:eastAsia="Times New Roman" w:hAnsi="Times New Roman" w:cs="Times New Roman"/>
          <w:sz w:val="20"/>
          <w:szCs w:val="20"/>
        </w:rPr>
        <w:t>].</w:t>
      </w:r>
    </w:p>
    <w:p w:rsidR="007C6B7B" w:rsidRPr="00D2601A" w:rsidRDefault="000E7DF7" w:rsidP="00D2601A">
      <w:pPr>
        <w:spacing w:after="0" w:line="240" w:lineRule="auto"/>
        <w:jc w:val="both"/>
        <w:rPr>
          <w:rFonts w:ascii="Times New Roman" w:eastAsia="Times New Roman" w:hAnsi="Times New Roman" w:cs="Times New Roman"/>
          <w:sz w:val="20"/>
          <w:szCs w:val="20"/>
        </w:rPr>
      </w:pPr>
      <w:r w:rsidRPr="00D2601A">
        <w:rPr>
          <w:rFonts w:ascii="Times New Roman" w:eastAsia="Times New Roman" w:hAnsi="Times New Roman" w:cs="Times New Roman"/>
          <w:color w:val="000000" w:themeColor="text1"/>
          <w:sz w:val="20"/>
          <w:szCs w:val="20"/>
        </w:rPr>
        <w:t xml:space="preserve">Clay treatment process is carried out to remove acidic impurities and to neutralize acidic oil. Acid clay is then </w:t>
      </w:r>
      <w:r w:rsidRPr="00D2601A">
        <w:rPr>
          <w:rFonts w:ascii="Times New Roman" w:eastAsia="Times New Roman" w:hAnsi="Times New Roman" w:cs="Times New Roman"/>
          <w:color w:val="000000" w:themeColor="text1"/>
          <w:sz w:val="20"/>
          <w:szCs w:val="20"/>
        </w:rPr>
        <w:lastRenderedPageBreak/>
        <w:t xml:space="preserve">removed using </w:t>
      </w:r>
      <w:r w:rsidR="00BB3F13" w:rsidRPr="00D2601A">
        <w:rPr>
          <w:rFonts w:ascii="Times New Roman" w:eastAsia="Times New Roman" w:hAnsi="Times New Roman" w:cs="Times New Roman"/>
          <w:color w:val="000000" w:themeColor="text1"/>
          <w:sz w:val="20"/>
          <w:szCs w:val="20"/>
        </w:rPr>
        <w:t>filters. The</w:t>
      </w:r>
      <w:r w:rsidR="00D2548D" w:rsidRPr="00D2601A">
        <w:rPr>
          <w:rFonts w:ascii="Times New Roman" w:eastAsia="Times New Roman" w:hAnsi="Times New Roman" w:cs="Times New Roman"/>
          <w:color w:val="000000" w:themeColor="text1"/>
          <w:sz w:val="20"/>
          <w:szCs w:val="20"/>
        </w:rPr>
        <w:t xml:space="preserve"> finished oil is neutral in </w:t>
      </w:r>
      <w:r w:rsidR="00BB3F13" w:rsidRPr="00D2601A">
        <w:rPr>
          <w:rFonts w:ascii="Times New Roman" w:eastAsia="Times New Roman" w:hAnsi="Times New Roman" w:cs="Times New Roman"/>
          <w:color w:val="000000" w:themeColor="text1"/>
          <w:sz w:val="20"/>
          <w:szCs w:val="20"/>
        </w:rPr>
        <w:t xml:space="preserve">acidity, </w:t>
      </w:r>
      <w:r w:rsidR="00327F13" w:rsidRPr="00D2601A">
        <w:rPr>
          <w:rFonts w:ascii="Times New Roman" w:eastAsia="Times New Roman" w:hAnsi="Times New Roman" w:cs="Times New Roman"/>
          <w:color w:val="000000" w:themeColor="text1"/>
          <w:sz w:val="20"/>
          <w:szCs w:val="20"/>
        </w:rPr>
        <w:t>n</w:t>
      </w:r>
      <w:r w:rsidR="00BB3F13" w:rsidRPr="00D2601A">
        <w:rPr>
          <w:rFonts w:ascii="Times New Roman" w:eastAsia="Times New Roman" w:hAnsi="Times New Roman" w:cs="Times New Roman"/>
          <w:color w:val="000000" w:themeColor="text1"/>
          <w:sz w:val="20"/>
          <w:szCs w:val="20"/>
        </w:rPr>
        <w:t>on</w:t>
      </w:r>
      <w:r w:rsidR="006669D9" w:rsidRPr="00D2601A">
        <w:rPr>
          <w:rFonts w:ascii="Times New Roman" w:eastAsia="Times New Roman" w:hAnsi="Times New Roman" w:cs="Times New Roman"/>
          <w:color w:val="000000" w:themeColor="text1"/>
          <w:sz w:val="20"/>
          <w:szCs w:val="20"/>
        </w:rPr>
        <w:t>-corrosive</w:t>
      </w:r>
      <w:r w:rsidR="00D2548D" w:rsidRPr="00D2601A">
        <w:rPr>
          <w:rFonts w:ascii="Times New Roman" w:eastAsia="Times New Roman" w:hAnsi="Times New Roman" w:cs="Times New Roman"/>
          <w:color w:val="000000" w:themeColor="text1"/>
          <w:sz w:val="20"/>
          <w:szCs w:val="20"/>
        </w:rPr>
        <w:t xml:space="preserve"> and </w:t>
      </w:r>
      <w:r w:rsidR="00D2548D" w:rsidRPr="00D2601A">
        <w:rPr>
          <w:rFonts w:ascii="Times New Roman" w:eastAsia="Times New Roman" w:hAnsi="Times New Roman" w:cs="Times New Roman"/>
          <w:sz w:val="20"/>
          <w:szCs w:val="20"/>
        </w:rPr>
        <w:t>go</w:t>
      </w:r>
      <w:r w:rsidR="00C305AA" w:rsidRPr="00D2601A">
        <w:rPr>
          <w:rFonts w:ascii="Times New Roman" w:eastAsia="Times New Roman" w:hAnsi="Times New Roman" w:cs="Times New Roman"/>
          <w:sz w:val="20"/>
          <w:szCs w:val="20"/>
        </w:rPr>
        <w:t>o</w:t>
      </w:r>
      <w:r w:rsidR="00D2548D" w:rsidRPr="00D2601A">
        <w:rPr>
          <w:rFonts w:ascii="Times New Roman" w:eastAsia="Times New Roman" w:hAnsi="Times New Roman" w:cs="Times New Roman"/>
          <w:sz w:val="20"/>
          <w:szCs w:val="20"/>
        </w:rPr>
        <w:t>d electrical parameters</w:t>
      </w:r>
      <w:r w:rsidR="002E4C0A" w:rsidRPr="00D2601A">
        <w:rPr>
          <w:rFonts w:ascii="Times New Roman" w:eastAsia="Times New Roman" w:hAnsi="Times New Roman" w:cs="Times New Roman"/>
          <w:sz w:val="20"/>
          <w:szCs w:val="20"/>
        </w:rPr>
        <w:t xml:space="preserve"> [8</w:t>
      </w:r>
      <w:r w:rsidR="007C6B7B" w:rsidRPr="00D2601A">
        <w:rPr>
          <w:rFonts w:ascii="Times New Roman" w:eastAsia="Times New Roman" w:hAnsi="Times New Roman" w:cs="Times New Roman"/>
          <w:sz w:val="20"/>
          <w:szCs w:val="20"/>
        </w:rPr>
        <w:t xml:space="preserve">]. </w:t>
      </w:r>
    </w:p>
    <w:p w:rsidR="004A4EB0" w:rsidRPr="00D2601A" w:rsidRDefault="000D572B" w:rsidP="00D2601A">
      <w:pPr>
        <w:spacing w:after="0" w:line="240" w:lineRule="auto"/>
        <w:rPr>
          <w:rFonts w:ascii="Times New Roman" w:hAnsi="Times New Roman" w:cs="Times New Roman"/>
          <w:sz w:val="20"/>
          <w:szCs w:val="20"/>
        </w:rPr>
      </w:pPr>
      <w:r w:rsidRPr="00D2601A">
        <w:rPr>
          <w:rFonts w:ascii="Times New Roman" w:hAnsi="Times New Roman" w:cs="Times New Roman"/>
          <w:sz w:val="20"/>
          <w:szCs w:val="20"/>
        </w:rPr>
        <w:t xml:space="preserve">The present study involves </w:t>
      </w:r>
      <w:r w:rsidR="001F0209" w:rsidRPr="00D2601A">
        <w:rPr>
          <w:rFonts w:ascii="Times New Roman" w:hAnsi="Times New Roman" w:cs="Times New Roman"/>
          <w:sz w:val="20"/>
          <w:szCs w:val="20"/>
        </w:rPr>
        <w:t>a</w:t>
      </w:r>
      <w:r w:rsidR="004A4EB0" w:rsidRPr="00D2601A">
        <w:rPr>
          <w:rFonts w:ascii="Times New Roman" w:hAnsi="Times New Roman" w:cs="Times New Roman"/>
          <w:sz w:val="20"/>
          <w:szCs w:val="20"/>
        </w:rPr>
        <w:t xml:space="preserve">cid /clay treatment </w:t>
      </w:r>
      <w:r w:rsidR="004A4EB0" w:rsidRPr="00D2601A">
        <w:rPr>
          <w:rFonts w:ascii="Times New Roman" w:hAnsi="Times New Roman" w:cs="Times New Roman"/>
          <w:color w:val="000000" w:themeColor="text1"/>
          <w:sz w:val="20"/>
          <w:szCs w:val="20"/>
        </w:rPr>
        <w:t xml:space="preserve">on </w:t>
      </w:r>
      <w:r w:rsidR="007659A2" w:rsidRPr="00D2601A">
        <w:rPr>
          <w:rFonts w:ascii="Times New Roman" w:hAnsi="Times New Roman" w:cs="Times New Roman"/>
          <w:color w:val="000000" w:themeColor="text1"/>
          <w:sz w:val="20"/>
          <w:szCs w:val="20"/>
        </w:rPr>
        <w:t>base</w:t>
      </w:r>
      <w:r w:rsidR="00BD6B9C" w:rsidRPr="00D2601A">
        <w:rPr>
          <w:rFonts w:ascii="Times New Roman" w:hAnsi="Times New Roman" w:cs="Times New Roman"/>
          <w:color w:val="000000" w:themeColor="text1"/>
          <w:sz w:val="20"/>
          <w:szCs w:val="20"/>
        </w:rPr>
        <w:t xml:space="preserve"> II oil</w:t>
      </w:r>
      <w:r w:rsidR="009B64DC" w:rsidRPr="00D2601A">
        <w:rPr>
          <w:rFonts w:ascii="Times New Roman" w:hAnsi="Times New Roman" w:cs="Times New Roman"/>
          <w:color w:val="000000" w:themeColor="text1"/>
          <w:sz w:val="20"/>
          <w:szCs w:val="20"/>
        </w:rPr>
        <w:t xml:space="preserve"> </w:t>
      </w:r>
      <w:r w:rsidR="00D2548D" w:rsidRPr="00D2601A">
        <w:rPr>
          <w:rFonts w:ascii="Times New Roman" w:hAnsi="Times New Roman" w:cs="Times New Roman"/>
          <w:color w:val="000000" w:themeColor="text1"/>
          <w:sz w:val="20"/>
          <w:szCs w:val="20"/>
        </w:rPr>
        <w:t>to</w:t>
      </w:r>
      <w:r w:rsidR="009B64DC" w:rsidRPr="00D2601A">
        <w:rPr>
          <w:rFonts w:ascii="Times New Roman" w:hAnsi="Times New Roman" w:cs="Times New Roman"/>
          <w:color w:val="000000" w:themeColor="text1"/>
          <w:sz w:val="20"/>
          <w:szCs w:val="20"/>
        </w:rPr>
        <w:t xml:space="preserve"> </w:t>
      </w:r>
      <w:r w:rsidRPr="00D2601A">
        <w:rPr>
          <w:rFonts w:ascii="Times New Roman" w:hAnsi="Times New Roman" w:cs="Times New Roman"/>
          <w:sz w:val="20"/>
          <w:szCs w:val="20"/>
        </w:rPr>
        <w:t>improve</w:t>
      </w:r>
      <w:r w:rsidR="00D2548D" w:rsidRPr="00D2601A">
        <w:rPr>
          <w:rFonts w:ascii="Times New Roman" w:hAnsi="Times New Roman" w:cs="Times New Roman"/>
          <w:sz w:val="20"/>
          <w:szCs w:val="20"/>
        </w:rPr>
        <w:t xml:space="preserve"> </w:t>
      </w:r>
      <w:r w:rsidR="001F0209" w:rsidRPr="00D2601A">
        <w:rPr>
          <w:rFonts w:ascii="Times New Roman" w:hAnsi="Times New Roman" w:cs="Times New Roman"/>
          <w:sz w:val="20"/>
          <w:szCs w:val="20"/>
        </w:rPr>
        <w:t xml:space="preserve">its </w:t>
      </w:r>
      <w:r w:rsidR="00D2548D" w:rsidRPr="00D2601A">
        <w:rPr>
          <w:rFonts w:ascii="Times New Roman" w:hAnsi="Times New Roman" w:cs="Times New Roman"/>
          <w:sz w:val="20"/>
          <w:szCs w:val="20"/>
        </w:rPr>
        <w:t xml:space="preserve">physical and chemical </w:t>
      </w:r>
      <w:r w:rsidR="00BB3F13" w:rsidRPr="00D2601A">
        <w:rPr>
          <w:rFonts w:ascii="Times New Roman" w:hAnsi="Times New Roman" w:cs="Times New Roman"/>
          <w:sz w:val="20"/>
          <w:szCs w:val="20"/>
        </w:rPr>
        <w:t xml:space="preserve">properties </w:t>
      </w:r>
      <w:r w:rsidRPr="00D2601A">
        <w:rPr>
          <w:rFonts w:ascii="Times New Roman" w:hAnsi="Times New Roman" w:cs="Times New Roman"/>
          <w:sz w:val="20"/>
          <w:szCs w:val="20"/>
        </w:rPr>
        <w:t xml:space="preserve">and compare various quality parameters of treated oil with </w:t>
      </w:r>
      <w:r w:rsidR="007659A2" w:rsidRPr="00D2601A">
        <w:rPr>
          <w:rFonts w:ascii="Times New Roman" w:hAnsi="Times New Roman" w:cs="Times New Roman"/>
          <w:sz w:val="20"/>
          <w:szCs w:val="20"/>
        </w:rPr>
        <w:t>base</w:t>
      </w:r>
      <w:r w:rsidRPr="00D2601A">
        <w:rPr>
          <w:rFonts w:ascii="Times New Roman" w:hAnsi="Times New Roman" w:cs="Times New Roman"/>
          <w:sz w:val="20"/>
          <w:szCs w:val="20"/>
        </w:rPr>
        <w:t xml:space="preserve"> I</w:t>
      </w:r>
      <w:r w:rsidR="001F0209" w:rsidRPr="00D2601A">
        <w:rPr>
          <w:rFonts w:ascii="Times New Roman" w:hAnsi="Times New Roman" w:cs="Times New Roman"/>
          <w:sz w:val="20"/>
          <w:szCs w:val="20"/>
        </w:rPr>
        <w:t>I</w:t>
      </w:r>
      <w:r w:rsidRPr="00D2601A">
        <w:rPr>
          <w:rFonts w:ascii="Times New Roman" w:hAnsi="Times New Roman" w:cs="Times New Roman"/>
          <w:sz w:val="20"/>
          <w:szCs w:val="20"/>
        </w:rPr>
        <w:t xml:space="preserve"> oil</w:t>
      </w:r>
      <w:r w:rsidR="00D2548D" w:rsidRPr="00D2601A">
        <w:rPr>
          <w:rFonts w:ascii="Times New Roman" w:hAnsi="Times New Roman" w:cs="Times New Roman"/>
          <w:sz w:val="20"/>
          <w:szCs w:val="20"/>
        </w:rPr>
        <w:t>.</w:t>
      </w:r>
    </w:p>
    <w:p w:rsidR="001F0209" w:rsidRPr="00D2601A" w:rsidRDefault="001F0209" w:rsidP="00D2601A">
      <w:pPr>
        <w:spacing w:after="0" w:line="240" w:lineRule="auto"/>
        <w:rPr>
          <w:rFonts w:ascii="Times New Roman" w:hAnsi="Times New Roman" w:cs="Times New Roman"/>
          <w:b/>
          <w:sz w:val="20"/>
          <w:szCs w:val="20"/>
        </w:rPr>
      </w:pPr>
    </w:p>
    <w:p w:rsidR="003A7A87" w:rsidRPr="00D2601A" w:rsidRDefault="00FC7986" w:rsidP="00D2601A">
      <w:pPr>
        <w:spacing w:after="0" w:line="240" w:lineRule="auto"/>
        <w:rPr>
          <w:rFonts w:ascii="Times New Roman" w:hAnsi="Times New Roman" w:cs="Times New Roman"/>
          <w:b/>
          <w:sz w:val="20"/>
          <w:szCs w:val="20"/>
        </w:rPr>
      </w:pPr>
      <w:r w:rsidRPr="00D2601A">
        <w:rPr>
          <w:rFonts w:ascii="Times New Roman" w:hAnsi="Times New Roman" w:cs="Times New Roman"/>
          <w:b/>
          <w:sz w:val="20"/>
          <w:szCs w:val="20"/>
        </w:rPr>
        <w:t xml:space="preserve">2. </w:t>
      </w:r>
      <w:r w:rsidR="00743524" w:rsidRPr="00AF7DA0">
        <w:rPr>
          <w:rFonts w:asciiTheme="minorBidi" w:hAnsiTheme="minorBidi"/>
          <w:b/>
          <w:sz w:val="20"/>
          <w:szCs w:val="20"/>
        </w:rPr>
        <w:t>MATERIALS AND METHODOLOGY</w:t>
      </w:r>
    </w:p>
    <w:p w:rsidR="00AA3304" w:rsidRPr="00D2601A" w:rsidRDefault="00A940D3"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Standard test methods IEC-60296 of testing and characterization of transformer oil were used as recommended by IEC (</w:t>
      </w:r>
      <w:r w:rsidRPr="00D2601A">
        <w:rPr>
          <w:rStyle w:val="apple-converted-space"/>
          <w:rFonts w:ascii="Times New Roman" w:hAnsi="Times New Roman" w:cs="Times New Roman"/>
          <w:sz w:val="20"/>
          <w:szCs w:val="20"/>
          <w:shd w:val="clear" w:color="auto" w:fill="FFFFFF"/>
        </w:rPr>
        <w:t>International</w:t>
      </w:r>
      <w:r w:rsidR="009B64DC" w:rsidRPr="00D2601A">
        <w:rPr>
          <w:rStyle w:val="apple-converted-space"/>
          <w:rFonts w:ascii="Times New Roman" w:hAnsi="Times New Roman" w:cs="Times New Roman"/>
          <w:sz w:val="20"/>
          <w:szCs w:val="20"/>
          <w:shd w:val="clear" w:color="auto" w:fill="FFFFFF"/>
        </w:rPr>
        <w:t xml:space="preserve"> </w:t>
      </w:r>
      <w:r w:rsidR="006C7057" w:rsidRPr="00D2601A">
        <w:rPr>
          <w:rStyle w:val="Emphasis"/>
          <w:rFonts w:ascii="Times New Roman" w:hAnsi="Times New Roman" w:cs="Times New Roman"/>
          <w:bCs/>
          <w:i w:val="0"/>
          <w:iCs w:val="0"/>
          <w:sz w:val="20"/>
          <w:szCs w:val="20"/>
          <w:shd w:val="clear" w:color="auto" w:fill="FFFFFF"/>
        </w:rPr>
        <w:t>Electrotechnical</w:t>
      </w:r>
      <w:r w:rsidRPr="00D2601A">
        <w:rPr>
          <w:rStyle w:val="Emphasis"/>
          <w:rFonts w:ascii="Times New Roman" w:hAnsi="Times New Roman" w:cs="Times New Roman"/>
          <w:bCs/>
          <w:i w:val="0"/>
          <w:iCs w:val="0"/>
          <w:sz w:val="20"/>
          <w:szCs w:val="20"/>
          <w:shd w:val="clear" w:color="auto" w:fill="FFFFFF"/>
        </w:rPr>
        <w:t xml:space="preserve"> Commission)</w:t>
      </w:r>
      <w:r w:rsidR="00C809AD" w:rsidRPr="00D2601A">
        <w:rPr>
          <w:rStyle w:val="Emphasis"/>
          <w:rFonts w:ascii="Times New Roman" w:hAnsi="Times New Roman" w:cs="Times New Roman"/>
          <w:b/>
          <w:bCs/>
          <w:i w:val="0"/>
          <w:iCs w:val="0"/>
          <w:sz w:val="20"/>
          <w:szCs w:val="20"/>
          <w:shd w:val="clear" w:color="auto" w:fill="FFFFFF"/>
        </w:rPr>
        <w:t xml:space="preserve"> </w:t>
      </w:r>
      <w:r w:rsidR="005477FA" w:rsidRPr="00D2601A">
        <w:rPr>
          <w:rStyle w:val="Emphasis"/>
          <w:rFonts w:ascii="Times New Roman" w:hAnsi="Times New Roman" w:cs="Times New Roman"/>
          <w:bCs/>
          <w:i w:val="0"/>
          <w:iCs w:val="0"/>
          <w:sz w:val="20"/>
          <w:szCs w:val="20"/>
          <w:shd w:val="clear" w:color="auto" w:fill="FFFFFF"/>
        </w:rPr>
        <w:t>[</w:t>
      </w:r>
      <w:r w:rsidR="000F0737" w:rsidRPr="00D2601A">
        <w:rPr>
          <w:rStyle w:val="Emphasis"/>
          <w:rFonts w:ascii="Times New Roman" w:hAnsi="Times New Roman" w:cs="Times New Roman"/>
          <w:bCs/>
          <w:i w:val="0"/>
          <w:iCs w:val="0"/>
          <w:sz w:val="20"/>
          <w:szCs w:val="20"/>
          <w:shd w:val="clear" w:color="auto" w:fill="FFFFFF"/>
        </w:rPr>
        <w:t>1</w:t>
      </w:r>
      <w:r w:rsidR="009F7988" w:rsidRPr="00D2601A">
        <w:rPr>
          <w:rStyle w:val="Emphasis"/>
          <w:rFonts w:ascii="Times New Roman" w:hAnsi="Times New Roman" w:cs="Times New Roman"/>
          <w:bCs/>
          <w:i w:val="0"/>
          <w:iCs w:val="0"/>
          <w:sz w:val="20"/>
          <w:szCs w:val="20"/>
          <w:shd w:val="clear" w:color="auto" w:fill="FFFFFF"/>
        </w:rPr>
        <w:t>3</w:t>
      </w:r>
      <w:r w:rsidR="0074384B" w:rsidRPr="00D2601A">
        <w:rPr>
          <w:rStyle w:val="Emphasis"/>
          <w:rFonts w:ascii="Times New Roman" w:hAnsi="Times New Roman" w:cs="Times New Roman"/>
          <w:bCs/>
          <w:i w:val="0"/>
          <w:iCs w:val="0"/>
          <w:sz w:val="20"/>
          <w:szCs w:val="20"/>
          <w:shd w:val="clear" w:color="auto" w:fill="FFFFFF"/>
        </w:rPr>
        <w:t>]</w:t>
      </w:r>
      <w:r w:rsidRPr="00D2601A">
        <w:rPr>
          <w:rFonts w:ascii="Times New Roman" w:hAnsi="Times New Roman" w:cs="Times New Roman"/>
          <w:sz w:val="20"/>
          <w:szCs w:val="20"/>
        </w:rPr>
        <w:t>.</w:t>
      </w:r>
    </w:p>
    <w:p w:rsidR="00A940D3" w:rsidRPr="00D2601A" w:rsidRDefault="0037205C"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 xml:space="preserve">2.1 </w:t>
      </w:r>
      <w:r w:rsidR="00E83959" w:rsidRPr="00D2601A">
        <w:rPr>
          <w:rFonts w:ascii="Times New Roman" w:hAnsi="Times New Roman" w:cs="Times New Roman"/>
          <w:b/>
          <w:color w:val="auto"/>
          <w:sz w:val="20"/>
          <w:szCs w:val="20"/>
        </w:rPr>
        <w:t>Reagents and raw materials used</w:t>
      </w:r>
    </w:p>
    <w:p w:rsidR="00A940D3" w:rsidRPr="00D2601A" w:rsidRDefault="00A940D3"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 xml:space="preserve">Imported Group II </w:t>
      </w:r>
      <w:r w:rsidR="007659A2" w:rsidRPr="00D2601A">
        <w:rPr>
          <w:rFonts w:ascii="Times New Roman" w:hAnsi="Times New Roman" w:cs="Times New Roman"/>
          <w:sz w:val="20"/>
          <w:szCs w:val="20"/>
        </w:rPr>
        <w:t>base</w:t>
      </w:r>
      <w:r w:rsidRPr="00D2601A">
        <w:rPr>
          <w:rFonts w:ascii="Times New Roman" w:hAnsi="Times New Roman" w:cs="Times New Roman"/>
          <w:sz w:val="20"/>
          <w:szCs w:val="20"/>
        </w:rPr>
        <w:t xml:space="preserve"> Oil (LP-70), Locally Group I </w:t>
      </w:r>
      <w:r w:rsidR="007659A2" w:rsidRPr="00D2601A">
        <w:rPr>
          <w:rFonts w:ascii="Times New Roman" w:hAnsi="Times New Roman" w:cs="Times New Roman"/>
          <w:sz w:val="20"/>
          <w:szCs w:val="20"/>
        </w:rPr>
        <w:t>base</w:t>
      </w:r>
      <w:r w:rsidRPr="00D2601A">
        <w:rPr>
          <w:rFonts w:ascii="Times New Roman" w:hAnsi="Times New Roman" w:cs="Times New Roman"/>
          <w:sz w:val="20"/>
          <w:szCs w:val="20"/>
        </w:rPr>
        <w:t xml:space="preserve"> Oil (65NHVI also known as Spindle </w:t>
      </w:r>
      <w:r w:rsidR="006C7057" w:rsidRPr="00D2601A">
        <w:rPr>
          <w:rFonts w:ascii="Times New Roman" w:hAnsi="Times New Roman" w:cs="Times New Roman"/>
          <w:sz w:val="20"/>
          <w:szCs w:val="20"/>
        </w:rPr>
        <w:t>oil, Pakistan</w:t>
      </w:r>
      <w:r w:rsidRPr="00D2601A">
        <w:rPr>
          <w:rFonts w:ascii="Times New Roman" w:hAnsi="Times New Roman" w:cs="Times New Roman"/>
          <w:sz w:val="20"/>
          <w:szCs w:val="20"/>
        </w:rPr>
        <w:t xml:space="preserve"> national refinery limited), Sulphuric acid, Bleaching earth clay (Bleaching earth clay also known as Bentonite clay, Tahir Asad Industries (Pvt.) Ltd).</w:t>
      </w:r>
    </w:p>
    <w:p w:rsidR="000D7C05" w:rsidRPr="00D2601A" w:rsidRDefault="000D7C05"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 xml:space="preserve">2.2 </w:t>
      </w:r>
      <w:r w:rsidR="00E83959" w:rsidRPr="00D2601A">
        <w:rPr>
          <w:rFonts w:ascii="Times New Roman" w:hAnsi="Times New Roman" w:cs="Times New Roman"/>
          <w:b/>
          <w:color w:val="auto"/>
          <w:sz w:val="20"/>
          <w:szCs w:val="20"/>
        </w:rPr>
        <w:t>Instruments used</w:t>
      </w:r>
    </w:p>
    <w:p w:rsidR="0068546F" w:rsidRPr="00D2601A" w:rsidRDefault="00A940D3"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Color Comparator (</w:t>
      </w:r>
      <w:r w:rsidRPr="00D2601A">
        <w:rPr>
          <w:rFonts w:ascii="Times New Roman" w:eastAsia="Times New Roman" w:hAnsi="Times New Roman" w:cs="Times New Roman"/>
          <w:color w:val="000000"/>
          <w:sz w:val="20"/>
          <w:szCs w:val="20"/>
        </w:rPr>
        <w:t>Fisher Color Comparator, AF 650</w:t>
      </w:r>
      <w:r w:rsidRPr="00D2601A">
        <w:rPr>
          <w:rFonts w:ascii="Times New Roman" w:hAnsi="Times New Roman" w:cs="Times New Roman"/>
          <w:sz w:val="20"/>
          <w:szCs w:val="20"/>
        </w:rPr>
        <w:t>), Karl fisher (</w:t>
      </w:r>
      <w:r w:rsidRPr="00D2601A">
        <w:rPr>
          <w:rFonts w:ascii="Times New Roman" w:eastAsia="Times New Roman" w:hAnsi="Times New Roman" w:cs="Times New Roman"/>
          <w:color w:val="000000"/>
          <w:sz w:val="20"/>
          <w:szCs w:val="20"/>
        </w:rPr>
        <w:t>Karl Fischer KF-875</w:t>
      </w:r>
      <w:r w:rsidRPr="00D2601A">
        <w:rPr>
          <w:rFonts w:ascii="Times New Roman" w:hAnsi="Times New Roman" w:cs="Times New Roman"/>
          <w:sz w:val="20"/>
          <w:szCs w:val="20"/>
        </w:rPr>
        <w:t>), DDF tester (</w:t>
      </w:r>
      <w:r w:rsidRPr="00D2601A">
        <w:rPr>
          <w:rFonts w:ascii="Times New Roman" w:eastAsia="Times New Roman" w:hAnsi="Times New Roman" w:cs="Times New Roman"/>
          <w:color w:val="000000"/>
          <w:sz w:val="20"/>
          <w:szCs w:val="20"/>
        </w:rPr>
        <w:t>Baur</w:t>
      </w:r>
      <w:r w:rsidR="009B64DC" w:rsidRPr="00D2601A">
        <w:rPr>
          <w:rFonts w:ascii="Times New Roman" w:eastAsia="Times New Roman" w:hAnsi="Times New Roman" w:cs="Times New Roman"/>
          <w:color w:val="000000"/>
          <w:sz w:val="20"/>
          <w:szCs w:val="20"/>
        </w:rPr>
        <w:t xml:space="preserve"> </w:t>
      </w:r>
      <w:r w:rsidRPr="00D2601A">
        <w:rPr>
          <w:rFonts w:ascii="Times New Roman" w:eastAsia="Times New Roman" w:hAnsi="Times New Roman" w:cs="Times New Roman"/>
          <w:color w:val="000000"/>
          <w:sz w:val="20"/>
          <w:szCs w:val="20"/>
        </w:rPr>
        <w:t>oil tester DTL C</w:t>
      </w:r>
      <w:r w:rsidRPr="00D2601A">
        <w:rPr>
          <w:rFonts w:ascii="Times New Roman" w:hAnsi="Times New Roman" w:cs="Times New Roman"/>
          <w:sz w:val="20"/>
          <w:szCs w:val="20"/>
        </w:rPr>
        <w:t>) and Potentiometer titration (</w:t>
      </w:r>
      <w:r w:rsidRPr="00D2601A">
        <w:rPr>
          <w:rFonts w:ascii="Times New Roman" w:eastAsia="Times New Roman" w:hAnsi="Times New Roman" w:cs="Times New Roman"/>
          <w:color w:val="000000"/>
          <w:sz w:val="20"/>
          <w:szCs w:val="20"/>
        </w:rPr>
        <w:t>Metrohm SM Titrino-702</w:t>
      </w:r>
      <w:r w:rsidRPr="00D2601A">
        <w:rPr>
          <w:rFonts w:ascii="Times New Roman" w:hAnsi="Times New Roman" w:cs="Times New Roman"/>
          <w:sz w:val="20"/>
          <w:szCs w:val="20"/>
        </w:rPr>
        <w:t>).</w:t>
      </w:r>
    </w:p>
    <w:p w:rsidR="0068546F" w:rsidRPr="00D2601A" w:rsidRDefault="0068546F" w:rsidP="00D2601A">
      <w:pPr>
        <w:spacing w:after="0" w:line="240" w:lineRule="auto"/>
        <w:jc w:val="both"/>
        <w:rPr>
          <w:rFonts w:ascii="Times New Roman" w:hAnsi="Times New Roman" w:cs="Times New Roman"/>
          <w:b/>
          <w:sz w:val="20"/>
          <w:szCs w:val="20"/>
        </w:rPr>
      </w:pPr>
      <w:r w:rsidRPr="00D2601A">
        <w:rPr>
          <w:rFonts w:ascii="Times New Roman" w:hAnsi="Times New Roman" w:cs="Times New Roman"/>
          <w:b/>
          <w:sz w:val="20"/>
          <w:szCs w:val="20"/>
        </w:rPr>
        <w:t xml:space="preserve">2.3. </w:t>
      </w:r>
      <w:r w:rsidR="001F0209" w:rsidRPr="00D2601A">
        <w:rPr>
          <w:rFonts w:ascii="Times New Roman" w:hAnsi="Times New Roman" w:cs="Times New Roman"/>
          <w:b/>
          <w:sz w:val="20"/>
          <w:szCs w:val="20"/>
        </w:rPr>
        <w:t>Acid/Clay Treatment</w:t>
      </w:r>
      <w:r w:rsidRPr="00D2601A">
        <w:rPr>
          <w:rFonts w:ascii="Times New Roman" w:hAnsi="Times New Roman" w:cs="Times New Roman"/>
          <w:b/>
          <w:sz w:val="20"/>
          <w:szCs w:val="20"/>
        </w:rPr>
        <w:t xml:space="preserve"> </w:t>
      </w:r>
    </w:p>
    <w:p w:rsidR="0068546F" w:rsidRPr="00D2601A" w:rsidRDefault="0068546F"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 xml:space="preserve">In this study </w:t>
      </w:r>
      <w:r w:rsidR="001F0209" w:rsidRPr="00D2601A">
        <w:rPr>
          <w:rFonts w:ascii="Times New Roman" w:hAnsi="Times New Roman" w:cs="Times New Roman"/>
          <w:sz w:val="20"/>
          <w:szCs w:val="20"/>
        </w:rPr>
        <w:t>various</w:t>
      </w:r>
      <w:r w:rsidRPr="00D2601A">
        <w:rPr>
          <w:rFonts w:ascii="Times New Roman" w:hAnsi="Times New Roman" w:cs="Times New Roman"/>
          <w:sz w:val="20"/>
          <w:szCs w:val="20"/>
        </w:rPr>
        <w:t xml:space="preserve"> combinations of earth clay</w:t>
      </w:r>
      <w:r w:rsidR="001F0209" w:rsidRPr="00D2601A">
        <w:rPr>
          <w:rFonts w:ascii="Times New Roman" w:hAnsi="Times New Roman" w:cs="Times New Roman"/>
          <w:sz w:val="20"/>
          <w:szCs w:val="20"/>
        </w:rPr>
        <w:t xml:space="preserve"> and sulphuric acid dosage w</w:t>
      </w:r>
      <w:r w:rsidRPr="00D2601A">
        <w:rPr>
          <w:rFonts w:ascii="Times New Roman" w:hAnsi="Times New Roman" w:cs="Times New Roman"/>
          <w:sz w:val="20"/>
          <w:szCs w:val="20"/>
        </w:rPr>
        <w:t xml:space="preserve">ere made for the </w:t>
      </w:r>
      <w:r w:rsidR="006729CB" w:rsidRPr="00D2601A">
        <w:rPr>
          <w:rFonts w:ascii="Times New Roman" w:hAnsi="Times New Roman" w:cs="Times New Roman"/>
          <w:sz w:val="20"/>
          <w:szCs w:val="20"/>
        </w:rPr>
        <w:t xml:space="preserve">treatment </w:t>
      </w:r>
      <w:r w:rsidRPr="00D2601A">
        <w:rPr>
          <w:rFonts w:ascii="Times New Roman" w:hAnsi="Times New Roman" w:cs="Times New Roman"/>
          <w:sz w:val="20"/>
          <w:szCs w:val="20"/>
        </w:rPr>
        <w:t>optimization</w:t>
      </w:r>
      <w:r w:rsidR="006729CB" w:rsidRPr="00D2601A">
        <w:rPr>
          <w:rFonts w:ascii="Times New Roman" w:hAnsi="Times New Roman" w:cs="Times New Roman"/>
          <w:sz w:val="20"/>
          <w:szCs w:val="20"/>
        </w:rPr>
        <w:t xml:space="preserve"> </w:t>
      </w:r>
      <w:r w:rsidRPr="00D2601A">
        <w:rPr>
          <w:rFonts w:ascii="Times New Roman" w:hAnsi="Times New Roman" w:cs="Times New Roman"/>
          <w:sz w:val="20"/>
          <w:szCs w:val="20"/>
        </w:rPr>
        <w:t>(</w:t>
      </w:r>
      <w:r w:rsidRPr="00D2601A">
        <w:rPr>
          <w:rFonts w:ascii="Times New Roman" w:hAnsi="Times New Roman" w:cs="Times New Roman"/>
          <w:b/>
          <w:sz w:val="20"/>
          <w:szCs w:val="20"/>
        </w:rPr>
        <w:t>Table 2.</w:t>
      </w:r>
      <w:r w:rsidR="00C5637F" w:rsidRPr="00D2601A">
        <w:rPr>
          <w:rFonts w:ascii="Times New Roman" w:hAnsi="Times New Roman" w:cs="Times New Roman"/>
          <w:b/>
          <w:sz w:val="20"/>
          <w:szCs w:val="20"/>
        </w:rPr>
        <w:t>1</w:t>
      </w:r>
      <w:r w:rsidRPr="00D2601A">
        <w:rPr>
          <w:rFonts w:ascii="Times New Roman" w:hAnsi="Times New Roman" w:cs="Times New Roman"/>
          <w:sz w:val="20"/>
          <w:szCs w:val="20"/>
        </w:rPr>
        <w:t xml:space="preserve">). The 500 ml of Group I base oil was used for each combination. The Group I base oil was </w:t>
      </w:r>
      <w:r w:rsidR="001F0209" w:rsidRPr="00D2601A">
        <w:rPr>
          <w:rFonts w:ascii="Times New Roman" w:hAnsi="Times New Roman" w:cs="Times New Roman"/>
          <w:sz w:val="20"/>
          <w:szCs w:val="20"/>
        </w:rPr>
        <w:t xml:space="preserve">firs </w:t>
      </w:r>
      <w:r w:rsidRPr="00D2601A">
        <w:rPr>
          <w:rFonts w:ascii="Times New Roman" w:hAnsi="Times New Roman" w:cs="Times New Roman"/>
          <w:sz w:val="20"/>
          <w:szCs w:val="20"/>
        </w:rPr>
        <w:t xml:space="preserve">treated with sulphuric acid with constant stirring for 3 minutes at ambient temperature then allowed to settle for four hours. The clear supernatant oil was separated by separating funnel and acidic residues were discarded. The supernatant oil was then treated with different </w:t>
      </w:r>
      <w:r w:rsidR="00F92A4E" w:rsidRPr="00D2601A">
        <w:rPr>
          <w:rFonts w:ascii="Times New Roman" w:hAnsi="Times New Roman" w:cs="Times New Roman"/>
          <w:sz w:val="20"/>
          <w:szCs w:val="20"/>
        </w:rPr>
        <w:t>dosages</w:t>
      </w:r>
      <w:r w:rsidRPr="00D2601A">
        <w:rPr>
          <w:rFonts w:ascii="Times New Roman" w:hAnsi="Times New Roman" w:cs="Times New Roman"/>
          <w:sz w:val="20"/>
          <w:szCs w:val="20"/>
        </w:rPr>
        <w:t xml:space="preserve"> (v/wt.</w:t>
      </w:r>
      <w:r w:rsidR="00F92A4E" w:rsidRPr="00D2601A">
        <w:rPr>
          <w:rFonts w:ascii="Times New Roman" w:hAnsi="Times New Roman" w:cs="Times New Roman"/>
          <w:sz w:val="20"/>
          <w:szCs w:val="20"/>
        </w:rPr>
        <w:t>%</w:t>
      </w:r>
      <w:r w:rsidRPr="00D2601A">
        <w:rPr>
          <w:rFonts w:ascii="Times New Roman" w:hAnsi="Times New Roman" w:cs="Times New Roman"/>
          <w:sz w:val="20"/>
          <w:szCs w:val="20"/>
        </w:rPr>
        <w:t xml:space="preserve">) of bleaching earth with continuous stirring of the mixture for eight minutes at ambient temperature. Bleaching earth treated oil was then allowed to settle for four hours. Supernatant was decanted and residues were discarded. The treated oil was finally filtered using a filter paper by Buchner funnel. </w:t>
      </w:r>
      <w:r w:rsidR="00F92A4E" w:rsidRPr="00D2601A">
        <w:rPr>
          <w:rFonts w:ascii="Times New Roman" w:hAnsi="Times New Roman" w:cs="Times New Roman"/>
          <w:sz w:val="20"/>
          <w:szCs w:val="20"/>
        </w:rPr>
        <w:t>Color, water content, dielectric dissipation factor</w:t>
      </w:r>
      <w:r w:rsidR="00CA0132" w:rsidRPr="00D2601A">
        <w:rPr>
          <w:rFonts w:ascii="Times New Roman" w:hAnsi="Times New Roman" w:cs="Times New Roman"/>
          <w:sz w:val="20"/>
          <w:szCs w:val="20"/>
        </w:rPr>
        <w:t xml:space="preserve"> </w:t>
      </w:r>
      <w:r w:rsidR="00F92A4E" w:rsidRPr="00D2601A">
        <w:rPr>
          <w:rFonts w:ascii="Times New Roman" w:hAnsi="Times New Roman" w:cs="Times New Roman"/>
          <w:sz w:val="20"/>
          <w:szCs w:val="20"/>
        </w:rPr>
        <w:t xml:space="preserve">and total acid number (TAN) </w:t>
      </w:r>
      <w:r w:rsidRPr="00D2601A">
        <w:rPr>
          <w:rFonts w:ascii="Times New Roman" w:hAnsi="Times New Roman" w:cs="Times New Roman"/>
          <w:sz w:val="20"/>
          <w:szCs w:val="20"/>
        </w:rPr>
        <w:t>were recorded for all combinations.</w:t>
      </w:r>
    </w:p>
    <w:p w:rsidR="00C5637F" w:rsidRPr="00350C28" w:rsidRDefault="00C5637F" w:rsidP="00AF7DA0">
      <w:pPr>
        <w:spacing w:after="0" w:line="240" w:lineRule="auto"/>
        <w:jc w:val="center"/>
        <w:rPr>
          <w:rFonts w:ascii="Times New Roman" w:hAnsi="Times New Roman" w:cs="Times New Roman"/>
          <w:b/>
          <w:sz w:val="18"/>
          <w:szCs w:val="18"/>
        </w:rPr>
      </w:pPr>
      <w:r w:rsidRPr="00350C28">
        <w:rPr>
          <w:rFonts w:ascii="Times New Roman" w:hAnsi="Times New Roman" w:cs="Times New Roman"/>
          <w:b/>
          <w:sz w:val="18"/>
          <w:szCs w:val="18"/>
        </w:rPr>
        <w:lastRenderedPageBreak/>
        <w:t>TABLE 2.1</w:t>
      </w:r>
      <w:r w:rsidR="00F92A4E" w:rsidRPr="00350C28">
        <w:rPr>
          <w:rFonts w:ascii="Times New Roman" w:hAnsi="Times New Roman" w:cs="Times New Roman"/>
          <w:b/>
          <w:sz w:val="18"/>
          <w:szCs w:val="18"/>
        </w:rPr>
        <w:t xml:space="preserve"> </w:t>
      </w:r>
      <w:r w:rsidRPr="00350C28">
        <w:rPr>
          <w:rFonts w:ascii="Times New Roman" w:hAnsi="Times New Roman" w:cs="Times New Roman"/>
          <w:b/>
          <w:sz w:val="18"/>
          <w:szCs w:val="18"/>
        </w:rPr>
        <w:t>Symbols codes of Group I base oil (Spindle Oil) after and before Acid/Clay treatment and Group II base oil (Imported Oil)</w:t>
      </w:r>
    </w:p>
    <w:tbl>
      <w:tblPr>
        <w:tblStyle w:val="PlainTable21"/>
        <w:tblW w:w="4318" w:type="dxa"/>
        <w:jc w:val="center"/>
        <w:tblLook w:val="04A0" w:firstRow="1" w:lastRow="0" w:firstColumn="1" w:lastColumn="0" w:noHBand="0" w:noVBand="1"/>
      </w:tblPr>
      <w:tblGrid>
        <w:gridCol w:w="3451"/>
        <w:gridCol w:w="867"/>
      </w:tblGrid>
      <w:tr w:rsidR="00C5637F" w:rsidRPr="00350C28" w:rsidTr="00AF7DA0">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451" w:type="dxa"/>
            <w:vAlign w:val="center"/>
          </w:tcPr>
          <w:p w:rsidR="00C5637F" w:rsidRPr="00350C28" w:rsidRDefault="00C5637F" w:rsidP="00AF7DA0">
            <w:pPr>
              <w:pStyle w:val="NormalWeb"/>
              <w:spacing w:before="0" w:beforeAutospacing="0" w:after="0" w:afterAutospacing="0"/>
              <w:jc w:val="center"/>
              <w:rPr>
                <w:sz w:val="18"/>
                <w:szCs w:val="18"/>
              </w:rPr>
            </w:pPr>
            <w:r w:rsidRPr="00350C28">
              <w:rPr>
                <w:sz w:val="18"/>
                <w:szCs w:val="18"/>
              </w:rPr>
              <w:t>Oil Specimen</w:t>
            </w:r>
          </w:p>
        </w:tc>
        <w:tc>
          <w:tcPr>
            <w:tcW w:w="867" w:type="dxa"/>
          </w:tcPr>
          <w:p w:rsidR="00C5637F" w:rsidRPr="00350C28" w:rsidRDefault="00C5637F" w:rsidP="00AF7DA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sz w:val="18"/>
                <w:szCs w:val="18"/>
              </w:rPr>
            </w:pPr>
            <w:r w:rsidRPr="00350C28">
              <w:rPr>
                <w:sz w:val="18"/>
                <w:szCs w:val="18"/>
              </w:rPr>
              <w:t>Symbol Code</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LP-70 Imported Group II Oil</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G II</w:t>
            </w:r>
          </w:p>
        </w:tc>
      </w:tr>
      <w:tr w:rsidR="00C5637F" w:rsidRPr="00350C28" w:rsidTr="00AF7DA0">
        <w:trPr>
          <w:trHeight w:val="224"/>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65 NHVI Spindle Oil</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GI</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with0.05 % sulfuric acid  and 0.05%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A</w:t>
            </w:r>
          </w:p>
        </w:tc>
      </w:tr>
      <w:tr w:rsidR="00C5637F" w:rsidRPr="00350C28" w:rsidTr="00AF7DA0">
        <w:trPr>
          <w:trHeight w:val="333"/>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with0.05 % sulfuric acid  and 0.3% 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B</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with0.1 % sulfuric acid  and 0.1%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C</w:t>
            </w:r>
          </w:p>
        </w:tc>
      </w:tr>
      <w:tr w:rsidR="00C5637F" w:rsidRPr="00350C28" w:rsidTr="00AF7DA0">
        <w:trPr>
          <w:trHeight w:val="332"/>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with0.1 % sulfuric acid  and 0.35% 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D</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with0.3 % sulfuric acid  and 0.3%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E</w:t>
            </w:r>
          </w:p>
        </w:tc>
      </w:tr>
      <w:tr w:rsidR="00C5637F" w:rsidRPr="00350C28" w:rsidTr="00AF7DA0">
        <w:trPr>
          <w:trHeight w:val="328"/>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with0.3 % sulfuric acid  and 0.55% 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F</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0.5%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G</w:t>
            </w:r>
          </w:p>
        </w:tc>
      </w:tr>
      <w:tr w:rsidR="00C5637F" w:rsidRPr="00350C28" w:rsidTr="00AF7DA0">
        <w:trPr>
          <w:trHeight w:val="341"/>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0.75% 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H</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1.0%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I</w:t>
            </w:r>
          </w:p>
        </w:tc>
      </w:tr>
      <w:tr w:rsidR="00C5637F" w:rsidRPr="00350C28" w:rsidTr="00AF7DA0">
        <w:trPr>
          <w:trHeight w:val="337"/>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1.25%clay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J</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1.5%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K</w:t>
            </w:r>
          </w:p>
        </w:tc>
      </w:tr>
      <w:tr w:rsidR="00C5637F" w:rsidRPr="00350C28" w:rsidTr="00AF7DA0">
        <w:trPr>
          <w:trHeight w:val="336"/>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1.75% 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L</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2.0%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M</w:t>
            </w:r>
          </w:p>
        </w:tc>
      </w:tr>
      <w:tr w:rsidR="00C5637F" w:rsidRPr="00350C28" w:rsidTr="00AF7DA0">
        <w:trPr>
          <w:trHeight w:val="348"/>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2.25% clay</w:t>
            </w:r>
          </w:p>
        </w:tc>
        <w:tc>
          <w:tcPr>
            <w:tcW w:w="867" w:type="dxa"/>
          </w:tcPr>
          <w:p w:rsidR="00C5637F" w:rsidRPr="00350C28" w:rsidRDefault="00C5637F" w:rsidP="00AF7DA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18"/>
              </w:rPr>
            </w:pPr>
            <w:r w:rsidRPr="00350C28">
              <w:rPr>
                <w:sz w:val="18"/>
                <w:szCs w:val="18"/>
              </w:rPr>
              <w:t>N</w:t>
            </w:r>
          </w:p>
        </w:tc>
      </w:tr>
      <w:tr w:rsidR="00C5637F" w:rsidRPr="00350C28" w:rsidTr="00AF7DA0">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3451" w:type="dxa"/>
          </w:tcPr>
          <w:p w:rsidR="00C5637F" w:rsidRPr="00350C28" w:rsidRDefault="00C5637F" w:rsidP="00AF7DA0">
            <w:pPr>
              <w:pStyle w:val="NormalWeb"/>
              <w:spacing w:before="0" w:beforeAutospacing="0" w:after="0" w:afterAutospacing="0"/>
              <w:rPr>
                <w:b w:val="0"/>
                <w:sz w:val="18"/>
                <w:szCs w:val="18"/>
              </w:rPr>
            </w:pPr>
            <w:r w:rsidRPr="00350C28">
              <w:rPr>
                <w:b w:val="0"/>
                <w:sz w:val="18"/>
                <w:szCs w:val="18"/>
              </w:rPr>
              <w:t>Spindle Oil acid/clay treatment method with0.5 % sulfuric acid  and 2.50% clay</w:t>
            </w:r>
          </w:p>
        </w:tc>
        <w:tc>
          <w:tcPr>
            <w:tcW w:w="867" w:type="dxa"/>
          </w:tcPr>
          <w:p w:rsidR="00C5637F" w:rsidRPr="00350C28" w:rsidRDefault="00C5637F" w:rsidP="00AF7DA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18"/>
              </w:rPr>
            </w:pPr>
            <w:r w:rsidRPr="00350C28">
              <w:rPr>
                <w:sz w:val="18"/>
                <w:szCs w:val="18"/>
              </w:rPr>
              <w:t>O</w:t>
            </w:r>
          </w:p>
        </w:tc>
      </w:tr>
    </w:tbl>
    <w:p w:rsidR="00F92A4E" w:rsidRPr="00350C28" w:rsidRDefault="00F92A4E" w:rsidP="00D2601A">
      <w:pPr>
        <w:pStyle w:val="Heading1"/>
        <w:spacing w:before="0" w:line="240" w:lineRule="auto"/>
        <w:rPr>
          <w:rFonts w:ascii="Times New Roman" w:hAnsi="Times New Roman" w:cs="Times New Roman"/>
          <w:b/>
          <w:color w:val="auto"/>
          <w:sz w:val="18"/>
          <w:szCs w:val="18"/>
        </w:rPr>
      </w:pPr>
    </w:p>
    <w:p w:rsidR="000D7C05" w:rsidRPr="00D2601A" w:rsidRDefault="000D7C05"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2.</w:t>
      </w:r>
      <w:r w:rsidR="0068546F" w:rsidRPr="00D2601A">
        <w:rPr>
          <w:rFonts w:ascii="Times New Roman" w:hAnsi="Times New Roman" w:cs="Times New Roman"/>
          <w:b/>
          <w:color w:val="auto"/>
          <w:sz w:val="20"/>
          <w:szCs w:val="20"/>
        </w:rPr>
        <w:t>4</w:t>
      </w:r>
      <w:r w:rsidRPr="00D2601A">
        <w:rPr>
          <w:rFonts w:ascii="Times New Roman" w:hAnsi="Times New Roman" w:cs="Times New Roman"/>
          <w:b/>
          <w:color w:val="auto"/>
          <w:sz w:val="20"/>
          <w:szCs w:val="20"/>
        </w:rPr>
        <w:t xml:space="preserve"> </w:t>
      </w:r>
      <w:r w:rsidR="00E83959" w:rsidRPr="00D2601A">
        <w:rPr>
          <w:rFonts w:ascii="Times New Roman" w:hAnsi="Times New Roman" w:cs="Times New Roman"/>
          <w:b/>
          <w:color w:val="auto"/>
          <w:sz w:val="20"/>
          <w:szCs w:val="20"/>
        </w:rPr>
        <w:t>General characteristics of transformer oils</w:t>
      </w:r>
    </w:p>
    <w:p w:rsidR="009A5D69" w:rsidRPr="00D2601A" w:rsidRDefault="00A940D3" w:rsidP="00D2601A">
      <w:pPr>
        <w:spacing w:after="0" w:line="240" w:lineRule="auto"/>
        <w:jc w:val="both"/>
        <w:rPr>
          <w:rFonts w:ascii="Times New Roman" w:hAnsi="Times New Roman" w:cs="Times New Roman"/>
          <w:b/>
          <w:sz w:val="20"/>
          <w:szCs w:val="20"/>
        </w:rPr>
      </w:pPr>
      <w:r w:rsidRPr="00D2601A">
        <w:rPr>
          <w:rFonts w:ascii="Times New Roman" w:hAnsi="Times New Roman" w:cs="Times New Roman"/>
          <w:sz w:val="20"/>
          <w:szCs w:val="20"/>
        </w:rPr>
        <w:t>For transformer base oils the most important properties are</w:t>
      </w:r>
      <w:r w:rsidR="009B64DC" w:rsidRPr="00D2601A">
        <w:rPr>
          <w:rFonts w:ascii="Times New Roman" w:hAnsi="Times New Roman" w:cs="Times New Roman"/>
          <w:sz w:val="20"/>
          <w:szCs w:val="20"/>
        </w:rPr>
        <w:t xml:space="preserve"> </w:t>
      </w:r>
      <w:r w:rsidR="000F0737" w:rsidRPr="00D2601A">
        <w:rPr>
          <w:rFonts w:ascii="Times New Roman" w:hAnsi="Times New Roman" w:cs="Times New Roman"/>
          <w:sz w:val="20"/>
          <w:szCs w:val="20"/>
        </w:rPr>
        <w:t>color [</w:t>
      </w:r>
      <w:r w:rsidR="009F7988" w:rsidRPr="00D2601A">
        <w:rPr>
          <w:rFonts w:ascii="Times New Roman" w:hAnsi="Times New Roman" w:cs="Times New Roman"/>
          <w:sz w:val="20"/>
          <w:szCs w:val="20"/>
        </w:rPr>
        <w:t>14</w:t>
      </w:r>
      <w:r w:rsidR="000F0737" w:rsidRPr="00D2601A">
        <w:rPr>
          <w:rFonts w:ascii="Times New Roman" w:hAnsi="Times New Roman" w:cs="Times New Roman"/>
          <w:sz w:val="20"/>
          <w:szCs w:val="20"/>
        </w:rPr>
        <w:t>], water content [</w:t>
      </w:r>
      <w:r w:rsidR="009F7988" w:rsidRPr="00D2601A">
        <w:rPr>
          <w:rFonts w:ascii="Times New Roman" w:hAnsi="Times New Roman" w:cs="Times New Roman"/>
          <w:sz w:val="20"/>
          <w:szCs w:val="20"/>
        </w:rPr>
        <w:t>15</w:t>
      </w:r>
      <w:r w:rsidRPr="00D2601A">
        <w:rPr>
          <w:rFonts w:ascii="Times New Roman" w:hAnsi="Times New Roman" w:cs="Times New Roman"/>
          <w:sz w:val="20"/>
          <w:szCs w:val="20"/>
        </w:rPr>
        <w:t>], dielec</w:t>
      </w:r>
      <w:r w:rsidR="000F0737" w:rsidRPr="00D2601A">
        <w:rPr>
          <w:rFonts w:ascii="Times New Roman" w:hAnsi="Times New Roman" w:cs="Times New Roman"/>
          <w:sz w:val="20"/>
          <w:szCs w:val="20"/>
        </w:rPr>
        <w:t>tric dissipation factor (DDF) [</w:t>
      </w:r>
      <w:r w:rsidR="00557711" w:rsidRPr="00D2601A">
        <w:rPr>
          <w:rFonts w:ascii="Times New Roman" w:hAnsi="Times New Roman" w:cs="Times New Roman"/>
          <w:sz w:val="20"/>
          <w:szCs w:val="20"/>
        </w:rPr>
        <w:t>1</w:t>
      </w:r>
      <w:r w:rsidR="009F7988" w:rsidRPr="00D2601A">
        <w:rPr>
          <w:rFonts w:ascii="Times New Roman" w:hAnsi="Times New Roman" w:cs="Times New Roman"/>
          <w:sz w:val="20"/>
          <w:szCs w:val="20"/>
        </w:rPr>
        <w:t>6</w:t>
      </w:r>
      <w:r w:rsidRPr="00D2601A">
        <w:rPr>
          <w:rFonts w:ascii="Times New Roman" w:hAnsi="Times New Roman" w:cs="Times New Roman"/>
          <w:sz w:val="20"/>
          <w:szCs w:val="20"/>
        </w:rPr>
        <w:t>]</w:t>
      </w:r>
      <w:r w:rsidR="000F0737" w:rsidRPr="00D2601A">
        <w:rPr>
          <w:rFonts w:ascii="Times New Roman" w:hAnsi="Times New Roman" w:cs="Times New Roman"/>
          <w:sz w:val="20"/>
          <w:szCs w:val="20"/>
        </w:rPr>
        <w:t xml:space="preserve"> and total acid number (TAN) [</w:t>
      </w:r>
      <w:r w:rsidR="00557711" w:rsidRPr="00D2601A">
        <w:rPr>
          <w:rFonts w:ascii="Times New Roman" w:hAnsi="Times New Roman" w:cs="Times New Roman"/>
          <w:sz w:val="20"/>
          <w:szCs w:val="20"/>
        </w:rPr>
        <w:t>1</w:t>
      </w:r>
      <w:r w:rsidR="009F7988" w:rsidRPr="00D2601A">
        <w:rPr>
          <w:rFonts w:ascii="Times New Roman" w:hAnsi="Times New Roman" w:cs="Times New Roman"/>
          <w:sz w:val="20"/>
          <w:szCs w:val="20"/>
        </w:rPr>
        <w:t>7</w:t>
      </w:r>
      <w:r w:rsidRPr="00D2601A">
        <w:rPr>
          <w:rFonts w:ascii="Times New Roman" w:hAnsi="Times New Roman" w:cs="Times New Roman"/>
          <w:sz w:val="20"/>
          <w:szCs w:val="20"/>
        </w:rPr>
        <w:t xml:space="preserve">]. The limits of these parameters for transformer base oil are shown in </w:t>
      </w:r>
      <w:r w:rsidR="00A52DDC" w:rsidRPr="00D2601A">
        <w:rPr>
          <w:rFonts w:ascii="Times New Roman" w:hAnsi="Times New Roman" w:cs="Times New Roman"/>
          <w:b/>
          <w:sz w:val="20"/>
          <w:szCs w:val="20"/>
        </w:rPr>
        <w:t>T</w:t>
      </w:r>
      <w:r w:rsidR="00C5637F" w:rsidRPr="00D2601A">
        <w:rPr>
          <w:rFonts w:ascii="Times New Roman" w:hAnsi="Times New Roman" w:cs="Times New Roman"/>
          <w:b/>
          <w:sz w:val="20"/>
          <w:szCs w:val="20"/>
        </w:rPr>
        <w:t>able 2.2</w:t>
      </w:r>
      <w:r w:rsidRPr="00D2601A">
        <w:rPr>
          <w:rFonts w:ascii="Times New Roman" w:hAnsi="Times New Roman" w:cs="Times New Roman"/>
          <w:b/>
          <w:sz w:val="20"/>
          <w:szCs w:val="20"/>
        </w:rPr>
        <w:t>.</w:t>
      </w:r>
    </w:p>
    <w:p w:rsidR="00C5637F" w:rsidRPr="00AF7DA0" w:rsidRDefault="00C5637F" w:rsidP="00D2601A">
      <w:pPr>
        <w:spacing w:after="0" w:line="240" w:lineRule="auto"/>
        <w:rPr>
          <w:rFonts w:ascii="Times New Roman" w:hAnsi="Times New Roman" w:cs="Times New Roman"/>
          <w:b/>
          <w:sz w:val="18"/>
          <w:szCs w:val="18"/>
        </w:rPr>
      </w:pPr>
      <w:r w:rsidRPr="00AF7DA0">
        <w:rPr>
          <w:rFonts w:ascii="Times New Roman" w:hAnsi="Times New Roman" w:cs="Times New Roman"/>
          <w:b/>
          <w:sz w:val="18"/>
          <w:szCs w:val="18"/>
        </w:rPr>
        <w:t>TABLE 2.2 Characteristics of Transformer Oil</w:t>
      </w:r>
    </w:p>
    <w:tbl>
      <w:tblPr>
        <w:tblStyle w:val="PlainTable21"/>
        <w:tblW w:w="3937" w:type="dxa"/>
        <w:tblLook w:val="04A0" w:firstRow="1" w:lastRow="0" w:firstColumn="1" w:lastColumn="0" w:noHBand="0" w:noVBand="1"/>
      </w:tblPr>
      <w:tblGrid>
        <w:gridCol w:w="1386"/>
        <w:gridCol w:w="1296"/>
        <w:gridCol w:w="1255"/>
      </w:tblGrid>
      <w:tr w:rsidR="00C5637F" w:rsidRPr="00AF7DA0" w:rsidTr="00F2091C">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386" w:type="dxa"/>
            <w:vAlign w:val="center"/>
          </w:tcPr>
          <w:p w:rsidR="00C5637F" w:rsidRPr="00AF7DA0" w:rsidRDefault="00C5637F" w:rsidP="00D2601A">
            <w:pPr>
              <w:rPr>
                <w:rFonts w:ascii="Times New Roman" w:hAnsi="Times New Roman" w:cs="Times New Roman"/>
                <w:bCs w:val="0"/>
                <w:sz w:val="18"/>
                <w:szCs w:val="18"/>
              </w:rPr>
            </w:pPr>
            <w:r w:rsidRPr="00AF7DA0">
              <w:rPr>
                <w:rFonts w:ascii="Times New Roman" w:hAnsi="Times New Roman" w:cs="Times New Roman"/>
                <w:bCs w:val="0"/>
                <w:sz w:val="18"/>
                <w:szCs w:val="18"/>
              </w:rPr>
              <w:t>Characteristics</w:t>
            </w:r>
          </w:p>
        </w:tc>
        <w:tc>
          <w:tcPr>
            <w:tcW w:w="1296" w:type="dxa"/>
            <w:vAlign w:val="center"/>
          </w:tcPr>
          <w:p w:rsidR="00C5637F" w:rsidRPr="00AF7DA0" w:rsidRDefault="00C5637F" w:rsidP="00D260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sidRPr="00AF7DA0">
              <w:rPr>
                <w:rFonts w:ascii="Times New Roman" w:hAnsi="Times New Roman" w:cs="Times New Roman"/>
                <w:bCs w:val="0"/>
                <w:sz w:val="18"/>
                <w:szCs w:val="18"/>
              </w:rPr>
              <w:t>Requirements</w:t>
            </w:r>
          </w:p>
        </w:tc>
        <w:tc>
          <w:tcPr>
            <w:tcW w:w="1255" w:type="dxa"/>
            <w:vAlign w:val="center"/>
          </w:tcPr>
          <w:p w:rsidR="00C5637F" w:rsidRPr="00AF7DA0" w:rsidRDefault="00C5637F" w:rsidP="00D2601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sidRPr="00AF7DA0">
              <w:rPr>
                <w:rFonts w:ascii="Times New Roman" w:hAnsi="Times New Roman" w:cs="Times New Roman"/>
                <w:bCs w:val="0"/>
                <w:sz w:val="18"/>
                <w:szCs w:val="18"/>
              </w:rPr>
              <w:t>Method of test</w:t>
            </w:r>
          </w:p>
        </w:tc>
      </w:tr>
      <w:tr w:rsidR="00C5637F" w:rsidRPr="00AF7DA0" w:rsidTr="00F2091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86" w:type="dxa"/>
            <w:vAlign w:val="center"/>
          </w:tcPr>
          <w:p w:rsidR="00C5637F" w:rsidRPr="00AF7DA0" w:rsidRDefault="00C5637F" w:rsidP="00D2601A">
            <w:pPr>
              <w:rPr>
                <w:rFonts w:ascii="Times New Roman" w:hAnsi="Times New Roman" w:cs="Times New Roman"/>
                <w:bCs w:val="0"/>
                <w:sz w:val="18"/>
                <w:szCs w:val="18"/>
              </w:rPr>
            </w:pPr>
            <w:r w:rsidRPr="00AF7DA0">
              <w:rPr>
                <w:rFonts w:ascii="Times New Roman" w:hAnsi="Times New Roman" w:cs="Times New Roman"/>
                <w:bCs w:val="0"/>
                <w:sz w:val="18"/>
                <w:szCs w:val="18"/>
              </w:rPr>
              <w:t>Color</w:t>
            </w:r>
          </w:p>
        </w:tc>
        <w:tc>
          <w:tcPr>
            <w:tcW w:w="1296" w:type="dxa"/>
            <w:vAlign w:val="center"/>
          </w:tcPr>
          <w:p w:rsidR="00C5637F" w:rsidRPr="00AF7DA0" w:rsidRDefault="00C5637F" w:rsidP="00D260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AF7DA0">
              <w:rPr>
                <w:rFonts w:ascii="Times New Roman" w:hAnsi="Times New Roman" w:cs="Times New Roman"/>
                <w:sz w:val="18"/>
                <w:szCs w:val="18"/>
              </w:rPr>
              <w:t>Max. 0.5 (as per Pakistan Requirement)</w:t>
            </w:r>
          </w:p>
        </w:tc>
        <w:tc>
          <w:tcPr>
            <w:tcW w:w="1255" w:type="dxa"/>
            <w:vAlign w:val="center"/>
          </w:tcPr>
          <w:p w:rsidR="00C5637F" w:rsidRPr="00AF7DA0" w:rsidRDefault="00C5637F" w:rsidP="00D260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AF7DA0">
              <w:rPr>
                <w:rFonts w:ascii="Times New Roman" w:hAnsi="Times New Roman" w:cs="Times New Roman"/>
                <w:bCs/>
                <w:sz w:val="18"/>
                <w:szCs w:val="18"/>
              </w:rPr>
              <w:t>ASTM D-1500</w:t>
            </w:r>
          </w:p>
        </w:tc>
      </w:tr>
      <w:tr w:rsidR="00C5637F" w:rsidRPr="00AF7DA0" w:rsidTr="00F2091C">
        <w:trPr>
          <w:trHeight w:val="193"/>
        </w:trPr>
        <w:tc>
          <w:tcPr>
            <w:cnfStyle w:val="001000000000" w:firstRow="0" w:lastRow="0" w:firstColumn="1" w:lastColumn="0" w:oddVBand="0" w:evenVBand="0" w:oddHBand="0" w:evenHBand="0" w:firstRowFirstColumn="0" w:firstRowLastColumn="0" w:lastRowFirstColumn="0" w:lastRowLastColumn="0"/>
            <w:tcW w:w="1386" w:type="dxa"/>
            <w:vAlign w:val="center"/>
          </w:tcPr>
          <w:p w:rsidR="00C5637F" w:rsidRPr="00AF7DA0" w:rsidRDefault="00C5637F" w:rsidP="00D2601A">
            <w:pPr>
              <w:rPr>
                <w:rFonts w:ascii="Times New Roman" w:hAnsi="Times New Roman" w:cs="Times New Roman"/>
                <w:bCs w:val="0"/>
                <w:sz w:val="18"/>
                <w:szCs w:val="18"/>
              </w:rPr>
            </w:pPr>
            <w:r w:rsidRPr="00AF7DA0">
              <w:rPr>
                <w:rFonts w:ascii="Times New Roman" w:hAnsi="Times New Roman" w:cs="Times New Roman"/>
                <w:bCs w:val="0"/>
                <w:sz w:val="18"/>
                <w:szCs w:val="18"/>
              </w:rPr>
              <w:t>Water content</w:t>
            </w:r>
          </w:p>
        </w:tc>
        <w:tc>
          <w:tcPr>
            <w:tcW w:w="1296" w:type="dxa"/>
          </w:tcPr>
          <w:p w:rsidR="00C5637F" w:rsidRPr="00AF7DA0" w:rsidRDefault="00C5637F" w:rsidP="00D260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Emphasis"/>
                <w:rFonts w:ascii="Times New Roman" w:hAnsi="Times New Roman" w:cs="Times New Roman"/>
                <w:i w:val="0"/>
                <w:sz w:val="18"/>
                <w:szCs w:val="18"/>
              </w:rPr>
            </w:pPr>
            <w:r w:rsidRPr="00AF7DA0">
              <w:rPr>
                <w:rFonts w:ascii="Times New Roman" w:hAnsi="Times New Roman" w:cs="Times New Roman"/>
                <w:sz w:val="18"/>
                <w:szCs w:val="18"/>
              </w:rPr>
              <w:t>Max. 30 (ppm)</w:t>
            </w:r>
          </w:p>
        </w:tc>
        <w:tc>
          <w:tcPr>
            <w:tcW w:w="1255" w:type="dxa"/>
          </w:tcPr>
          <w:p w:rsidR="00C5637F" w:rsidRPr="00AF7DA0" w:rsidRDefault="00C5637F" w:rsidP="00D260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AF7DA0">
              <w:rPr>
                <w:rFonts w:ascii="Times New Roman" w:hAnsi="Times New Roman" w:cs="Times New Roman"/>
                <w:bCs/>
                <w:sz w:val="18"/>
                <w:szCs w:val="18"/>
              </w:rPr>
              <w:t>IEC-60184</w:t>
            </w:r>
          </w:p>
        </w:tc>
      </w:tr>
      <w:tr w:rsidR="00C5637F" w:rsidRPr="00AF7DA0" w:rsidTr="00F2091C">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386" w:type="dxa"/>
            <w:vAlign w:val="center"/>
          </w:tcPr>
          <w:p w:rsidR="00C5637F" w:rsidRPr="00AF7DA0" w:rsidRDefault="00C5637F" w:rsidP="00D2601A">
            <w:pPr>
              <w:rPr>
                <w:rFonts w:ascii="Times New Roman" w:hAnsi="Times New Roman" w:cs="Times New Roman"/>
                <w:bCs w:val="0"/>
                <w:sz w:val="18"/>
                <w:szCs w:val="18"/>
              </w:rPr>
            </w:pPr>
            <w:r w:rsidRPr="00AF7DA0">
              <w:rPr>
                <w:rFonts w:ascii="Times New Roman" w:hAnsi="Times New Roman" w:cs="Times New Roman"/>
                <w:bCs w:val="0"/>
                <w:sz w:val="18"/>
                <w:szCs w:val="18"/>
              </w:rPr>
              <w:t>Di electric dissipation factor</w:t>
            </w:r>
          </w:p>
        </w:tc>
        <w:tc>
          <w:tcPr>
            <w:tcW w:w="1296" w:type="dxa"/>
            <w:vAlign w:val="center"/>
          </w:tcPr>
          <w:p w:rsidR="00C5637F" w:rsidRPr="00AF7DA0" w:rsidRDefault="00C5637F" w:rsidP="00D260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AF7DA0">
              <w:rPr>
                <w:rFonts w:ascii="Times New Roman" w:hAnsi="Times New Roman" w:cs="Times New Roman"/>
                <w:sz w:val="18"/>
                <w:szCs w:val="18"/>
              </w:rPr>
              <w:t>Max. 0.005</w:t>
            </w:r>
          </w:p>
        </w:tc>
        <w:tc>
          <w:tcPr>
            <w:tcW w:w="1255" w:type="dxa"/>
            <w:vAlign w:val="center"/>
          </w:tcPr>
          <w:p w:rsidR="00C5637F" w:rsidRPr="00AF7DA0" w:rsidRDefault="00C5637F" w:rsidP="00D260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AF7DA0">
              <w:rPr>
                <w:rFonts w:ascii="Times New Roman" w:hAnsi="Times New Roman" w:cs="Times New Roman"/>
                <w:bCs/>
                <w:sz w:val="18"/>
                <w:szCs w:val="18"/>
              </w:rPr>
              <w:t>IEC-60247</w:t>
            </w:r>
          </w:p>
        </w:tc>
      </w:tr>
      <w:tr w:rsidR="00C5637F" w:rsidRPr="00AF7DA0" w:rsidTr="00F2091C">
        <w:trPr>
          <w:trHeight w:val="202"/>
        </w:trPr>
        <w:tc>
          <w:tcPr>
            <w:cnfStyle w:val="001000000000" w:firstRow="0" w:lastRow="0" w:firstColumn="1" w:lastColumn="0" w:oddVBand="0" w:evenVBand="0" w:oddHBand="0" w:evenHBand="0" w:firstRowFirstColumn="0" w:firstRowLastColumn="0" w:lastRowFirstColumn="0" w:lastRowLastColumn="0"/>
            <w:tcW w:w="1386" w:type="dxa"/>
            <w:vAlign w:val="center"/>
          </w:tcPr>
          <w:p w:rsidR="00C5637F" w:rsidRPr="00AF7DA0" w:rsidRDefault="00F92A4E" w:rsidP="00D2601A">
            <w:pPr>
              <w:rPr>
                <w:rFonts w:ascii="Times New Roman" w:hAnsi="Times New Roman" w:cs="Times New Roman"/>
                <w:bCs w:val="0"/>
                <w:sz w:val="18"/>
                <w:szCs w:val="18"/>
              </w:rPr>
            </w:pPr>
            <w:r w:rsidRPr="00AF7DA0">
              <w:rPr>
                <w:rFonts w:ascii="Times New Roman" w:hAnsi="Times New Roman" w:cs="Times New Roman"/>
                <w:bCs w:val="0"/>
                <w:sz w:val="18"/>
                <w:szCs w:val="18"/>
              </w:rPr>
              <w:t>Acidity (TAN)</w:t>
            </w:r>
          </w:p>
        </w:tc>
        <w:tc>
          <w:tcPr>
            <w:tcW w:w="1296" w:type="dxa"/>
          </w:tcPr>
          <w:p w:rsidR="00C5637F" w:rsidRPr="00AF7DA0" w:rsidRDefault="00C5637F" w:rsidP="00D260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AF7DA0">
              <w:rPr>
                <w:rFonts w:ascii="Times New Roman" w:hAnsi="Times New Roman" w:cs="Times New Roman"/>
                <w:sz w:val="18"/>
                <w:szCs w:val="18"/>
              </w:rPr>
              <w:t>Max. 0.01 mg KOH/g</w:t>
            </w:r>
          </w:p>
        </w:tc>
        <w:tc>
          <w:tcPr>
            <w:tcW w:w="1255" w:type="dxa"/>
          </w:tcPr>
          <w:p w:rsidR="00C5637F" w:rsidRPr="00AF7DA0" w:rsidRDefault="00C5637F" w:rsidP="00D260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AF7DA0">
              <w:rPr>
                <w:rFonts w:ascii="Times New Roman" w:hAnsi="Times New Roman" w:cs="Times New Roman"/>
                <w:bCs/>
                <w:sz w:val="18"/>
                <w:szCs w:val="18"/>
              </w:rPr>
              <w:t>IEC-62021-1</w:t>
            </w:r>
          </w:p>
        </w:tc>
      </w:tr>
    </w:tbl>
    <w:p w:rsidR="00350C28" w:rsidRDefault="00350C28" w:rsidP="00D2601A">
      <w:pPr>
        <w:pStyle w:val="Heading3"/>
        <w:spacing w:before="0" w:line="240" w:lineRule="auto"/>
        <w:rPr>
          <w:rFonts w:ascii="Times New Roman" w:hAnsi="Times New Roman" w:cs="Times New Roman"/>
          <w:color w:val="auto"/>
          <w:sz w:val="20"/>
          <w:szCs w:val="20"/>
        </w:rPr>
      </w:pPr>
    </w:p>
    <w:p w:rsidR="00B66E4F" w:rsidRPr="00D2601A" w:rsidRDefault="00350C28" w:rsidP="00D2601A">
      <w:pPr>
        <w:pStyle w:val="Heading3"/>
        <w:spacing w:before="0" w:line="240" w:lineRule="auto"/>
        <w:rPr>
          <w:rFonts w:ascii="Times New Roman" w:hAnsi="Times New Roman" w:cs="Times New Roman"/>
          <w:color w:val="auto"/>
          <w:sz w:val="20"/>
          <w:szCs w:val="20"/>
        </w:rPr>
      </w:pPr>
      <w:r>
        <w:rPr>
          <w:rFonts w:ascii="Times New Roman" w:hAnsi="Times New Roman" w:cs="Times New Roman"/>
          <w:color w:val="auto"/>
          <w:sz w:val="20"/>
          <w:szCs w:val="20"/>
        </w:rPr>
        <w:br w:type="column"/>
      </w:r>
      <w:r w:rsidR="006B46B4" w:rsidRPr="00D2601A">
        <w:rPr>
          <w:rFonts w:ascii="Times New Roman" w:hAnsi="Times New Roman" w:cs="Times New Roman"/>
          <w:color w:val="auto"/>
          <w:sz w:val="20"/>
          <w:szCs w:val="20"/>
        </w:rPr>
        <w:t>3</w:t>
      </w:r>
      <w:r w:rsidR="00B96E6F" w:rsidRPr="00D2601A">
        <w:rPr>
          <w:rFonts w:ascii="Times New Roman" w:hAnsi="Times New Roman" w:cs="Times New Roman"/>
          <w:color w:val="auto"/>
          <w:sz w:val="20"/>
          <w:szCs w:val="20"/>
        </w:rPr>
        <w:t xml:space="preserve">. </w:t>
      </w:r>
      <w:r w:rsidR="00696681" w:rsidRPr="00AF7DA0">
        <w:rPr>
          <w:rFonts w:asciiTheme="minorBidi" w:hAnsiTheme="minorBidi" w:cstheme="minorBidi"/>
          <w:color w:val="auto"/>
          <w:sz w:val="20"/>
          <w:szCs w:val="20"/>
        </w:rPr>
        <w:t>RESULT AND DISCUSSION</w:t>
      </w:r>
    </w:p>
    <w:p w:rsidR="00025EB6" w:rsidRPr="00D2601A" w:rsidRDefault="006B46B4"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3</w:t>
      </w:r>
      <w:r w:rsidR="00A67350" w:rsidRPr="00D2601A">
        <w:rPr>
          <w:rFonts w:ascii="Times New Roman" w:hAnsi="Times New Roman" w:cs="Times New Roman"/>
          <w:b/>
          <w:color w:val="auto"/>
          <w:sz w:val="20"/>
          <w:szCs w:val="20"/>
        </w:rPr>
        <w:t xml:space="preserve">.1 </w:t>
      </w:r>
      <w:r w:rsidR="00E83959" w:rsidRPr="00D2601A">
        <w:rPr>
          <w:rFonts w:ascii="Times New Roman" w:hAnsi="Times New Roman" w:cs="Times New Roman"/>
          <w:b/>
          <w:color w:val="auto"/>
          <w:sz w:val="20"/>
          <w:szCs w:val="20"/>
        </w:rPr>
        <w:t xml:space="preserve">Experimental </w:t>
      </w:r>
      <w:r w:rsidR="00103137" w:rsidRPr="00D2601A">
        <w:rPr>
          <w:rFonts w:ascii="Times New Roman" w:hAnsi="Times New Roman" w:cs="Times New Roman"/>
          <w:b/>
          <w:color w:val="auto"/>
          <w:sz w:val="20"/>
          <w:szCs w:val="20"/>
        </w:rPr>
        <w:t>R</w:t>
      </w:r>
      <w:r w:rsidR="00E83959" w:rsidRPr="00D2601A">
        <w:rPr>
          <w:rFonts w:ascii="Times New Roman" w:hAnsi="Times New Roman" w:cs="Times New Roman"/>
          <w:b/>
          <w:color w:val="auto"/>
          <w:sz w:val="20"/>
          <w:szCs w:val="20"/>
        </w:rPr>
        <w:t>esults</w:t>
      </w:r>
    </w:p>
    <w:p w:rsidR="00B42BC9" w:rsidRPr="00D2601A" w:rsidRDefault="00B42BC9"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All observed data</w:t>
      </w:r>
      <w:r w:rsidR="00D84B48" w:rsidRPr="00D2601A">
        <w:rPr>
          <w:rFonts w:ascii="Times New Roman" w:hAnsi="Times New Roman" w:cs="Times New Roman"/>
          <w:sz w:val="20"/>
          <w:szCs w:val="20"/>
        </w:rPr>
        <w:t xml:space="preserve"> and results</w:t>
      </w:r>
      <w:r w:rsidRPr="00D2601A">
        <w:rPr>
          <w:rFonts w:ascii="Times New Roman" w:hAnsi="Times New Roman" w:cs="Times New Roman"/>
          <w:sz w:val="20"/>
          <w:szCs w:val="20"/>
        </w:rPr>
        <w:t xml:space="preserve"> for the electrical, physical and chemical properties is summarize</w:t>
      </w:r>
      <w:r w:rsidR="006729CB" w:rsidRPr="00D2601A">
        <w:rPr>
          <w:rFonts w:ascii="Times New Roman" w:hAnsi="Times New Roman" w:cs="Times New Roman"/>
          <w:sz w:val="20"/>
          <w:szCs w:val="20"/>
        </w:rPr>
        <w:t>d</w:t>
      </w:r>
      <w:r w:rsidRPr="00D2601A">
        <w:rPr>
          <w:rFonts w:ascii="Times New Roman" w:hAnsi="Times New Roman" w:cs="Times New Roman"/>
          <w:sz w:val="20"/>
          <w:szCs w:val="20"/>
        </w:rPr>
        <w:t xml:space="preserve"> in</w:t>
      </w:r>
      <w:r w:rsidR="009B64DC" w:rsidRPr="00D2601A">
        <w:rPr>
          <w:rFonts w:ascii="Times New Roman" w:hAnsi="Times New Roman" w:cs="Times New Roman"/>
          <w:sz w:val="20"/>
          <w:szCs w:val="20"/>
        </w:rPr>
        <w:t xml:space="preserve"> </w:t>
      </w:r>
      <w:r w:rsidR="00BD6B9C" w:rsidRPr="00D2601A">
        <w:rPr>
          <w:rFonts w:ascii="Times New Roman" w:hAnsi="Times New Roman" w:cs="Times New Roman"/>
          <w:b/>
          <w:sz w:val="20"/>
          <w:szCs w:val="20"/>
        </w:rPr>
        <w:t>T</w:t>
      </w:r>
      <w:r w:rsidR="00387CB2" w:rsidRPr="00D2601A">
        <w:rPr>
          <w:rFonts w:ascii="Times New Roman" w:hAnsi="Times New Roman" w:cs="Times New Roman"/>
          <w:b/>
          <w:sz w:val="20"/>
          <w:szCs w:val="20"/>
        </w:rPr>
        <w:t xml:space="preserve">able </w:t>
      </w:r>
      <w:r w:rsidR="009A5D69" w:rsidRPr="00D2601A">
        <w:rPr>
          <w:rFonts w:ascii="Times New Roman" w:hAnsi="Times New Roman" w:cs="Times New Roman"/>
          <w:b/>
          <w:sz w:val="20"/>
          <w:szCs w:val="20"/>
        </w:rPr>
        <w:t>3</w:t>
      </w:r>
      <w:r w:rsidR="00387CB2" w:rsidRPr="00D2601A">
        <w:rPr>
          <w:rFonts w:ascii="Times New Roman" w:hAnsi="Times New Roman" w:cs="Times New Roman"/>
          <w:b/>
          <w:sz w:val="20"/>
          <w:szCs w:val="20"/>
        </w:rPr>
        <w:t>.1</w:t>
      </w:r>
      <w:r w:rsidR="006729CB" w:rsidRPr="00D2601A">
        <w:rPr>
          <w:rFonts w:ascii="Times New Roman" w:hAnsi="Times New Roman" w:cs="Times New Roman"/>
          <w:b/>
          <w:sz w:val="20"/>
          <w:szCs w:val="20"/>
        </w:rPr>
        <w:t xml:space="preserve"> </w:t>
      </w:r>
      <w:r w:rsidR="00D91BF0" w:rsidRPr="00D2601A">
        <w:rPr>
          <w:rFonts w:ascii="Times New Roman" w:hAnsi="Times New Roman" w:cs="Times New Roman"/>
          <w:sz w:val="20"/>
          <w:szCs w:val="20"/>
        </w:rPr>
        <w:t>and</w:t>
      </w:r>
      <w:r w:rsidR="00D91BF0" w:rsidRPr="00D2601A">
        <w:rPr>
          <w:rFonts w:ascii="Times New Roman" w:hAnsi="Times New Roman" w:cs="Times New Roman"/>
          <w:b/>
          <w:sz w:val="20"/>
          <w:szCs w:val="20"/>
        </w:rPr>
        <w:t xml:space="preserve"> </w:t>
      </w:r>
      <w:r w:rsidRPr="00D2601A">
        <w:rPr>
          <w:rFonts w:ascii="Times New Roman" w:hAnsi="Times New Roman" w:cs="Times New Roman"/>
          <w:sz w:val="20"/>
          <w:szCs w:val="20"/>
        </w:rPr>
        <w:t xml:space="preserve">data is </w:t>
      </w:r>
      <w:r w:rsidR="00D91BF0" w:rsidRPr="00D2601A">
        <w:rPr>
          <w:rFonts w:ascii="Times New Roman" w:hAnsi="Times New Roman" w:cs="Times New Roman"/>
          <w:sz w:val="20"/>
          <w:szCs w:val="20"/>
        </w:rPr>
        <w:t xml:space="preserve">also </w:t>
      </w:r>
      <w:r w:rsidRPr="00D2601A">
        <w:rPr>
          <w:rFonts w:ascii="Times New Roman" w:hAnsi="Times New Roman" w:cs="Times New Roman"/>
          <w:sz w:val="20"/>
          <w:szCs w:val="20"/>
        </w:rPr>
        <w:t xml:space="preserve">presented in trend plots for comparing the dielectric dissipation factor (tan δ), color, water content and acidity characteristics between Group I base oil (locally) and Group II base oil (Imported).  </w:t>
      </w:r>
    </w:p>
    <w:p w:rsidR="00930E2D" w:rsidRPr="00D2601A" w:rsidRDefault="00930E2D" w:rsidP="00D2601A">
      <w:pPr>
        <w:spacing w:after="0" w:line="240" w:lineRule="auto"/>
        <w:jc w:val="both"/>
        <w:rPr>
          <w:rFonts w:ascii="Times New Roman" w:hAnsi="Times New Roman" w:cs="Times New Roman"/>
          <w:sz w:val="20"/>
          <w:szCs w:val="20"/>
        </w:rPr>
      </w:pPr>
    </w:p>
    <w:p w:rsidR="00930E2D" w:rsidRPr="00BF65A7" w:rsidRDefault="00930E2D" w:rsidP="00AF7DA0">
      <w:pPr>
        <w:pStyle w:val="Heading1"/>
        <w:spacing w:before="0" w:line="240" w:lineRule="auto"/>
        <w:jc w:val="center"/>
        <w:rPr>
          <w:rFonts w:ascii="Times New Roman" w:hAnsi="Times New Roman" w:cs="Times New Roman"/>
          <w:b/>
          <w:color w:val="auto"/>
          <w:sz w:val="16"/>
          <w:szCs w:val="16"/>
        </w:rPr>
      </w:pPr>
      <w:r w:rsidRPr="00BF65A7">
        <w:rPr>
          <w:rFonts w:ascii="Times New Roman" w:hAnsi="Times New Roman" w:cs="Times New Roman"/>
          <w:b/>
          <w:color w:val="auto"/>
          <w:sz w:val="16"/>
          <w:szCs w:val="16"/>
        </w:rPr>
        <w:t>TABLE 3.1</w:t>
      </w:r>
      <w:r w:rsidR="00F92A4E" w:rsidRPr="00BF65A7">
        <w:rPr>
          <w:rFonts w:ascii="Times New Roman" w:hAnsi="Times New Roman" w:cs="Times New Roman"/>
          <w:b/>
          <w:color w:val="auto"/>
          <w:sz w:val="16"/>
          <w:szCs w:val="16"/>
        </w:rPr>
        <w:t xml:space="preserve">  </w:t>
      </w:r>
      <w:r w:rsidRPr="00BF65A7">
        <w:rPr>
          <w:rFonts w:ascii="Times New Roman" w:hAnsi="Times New Roman" w:cs="Times New Roman"/>
          <w:b/>
          <w:color w:val="auto"/>
          <w:sz w:val="16"/>
          <w:szCs w:val="16"/>
        </w:rPr>
        <w:t>Electrical, chemical and physical properties Group I base oil (Spindle Oil) after and before Acid/Clay treatment and compare with Group II base oil (Imported Oil)</w:t>
      </w:r>
    </w:p>
    <w:p w:rsidR="00930E2D" w:rsidRPr="00BF65A7" w:rsidRDefault="00930E2D" w:rsidP="00D2601A">
      <w:pPr>
        <w:spacing w:after="0" w:line="240" w:lineRule="auto"/>
        <w:jc w:val="both"/>
        <w:rPr>
          <w:rFonts w:ascii="Times New Roman" w:hAnsi="Times New Roman" w:cs="Times New Roman"/>
          <w:sz w:val="16"/>
          <w:szCs w:val="16"/>
        </w:rPr>
      </w:pPr>
    </w:p>
    <w:tbl>
      <w:tblPr>
        <w:tblStyle w:val="TableGrid"/>
        <w:tblW w:w="4816" w:type="dxa"/>
        <w:jc w:val="center"/>
        <w:tblInd w:w="-88" w:type="dxa"/>
        <w:tblLayout w:type="fixed"/>
        <w:tblLook w:val="04A0" w:firstRow="1" w:lastRow="0" w:firstColumn="1" w:lastColumn="0" w:noHBand="0" w:noVBand="1"/>
      </w:tblPr>
      <w:tblGrid>
        <w:gridCol w:w="1047"/>
        <w:gridCol w:w="850"/>
        <w:gridCol w:w="871"/>
        <w:gridCol w:w="990"/>
        <w:gridCol w:w="1058"/>
      </w:tblGrid>
      <w:tr w:rsidR="00930E2D" w:rsidRPr="00BF65A7" w:rsidTr="00BF65A7">
        <w:trPr>
          <w:trHeight w:val="135"/>
          <w:jc w:val="center"/>
        </w:trPr>
        <w:tc>
          <w:tcPr>
            <w:tcW w:w="1047" w:type="dxa"/>
            <w:tcBorders>
              <w:bottom w:val="single" w:sz="4" w:space="0" w:color="000000"/>
            </w:tcBorders>
            <w:vAlign w:val="center"/>
          </w:tcPr>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Method</w:t>
            </w:r>
          </w:p>
        </w:tc>
        <w:tc>
          <w:tcPr>
            <w:tcW w:w="850" w:type="dxa"/>
            <w:vAlign w:val="center"/>
          </w:tcPr>
          <w:p w:rsidR="00930E2D" w:rsidRPr="00BF65A7" w:rsidRDefault="00930E2D" w:rsidP="00AF7DA0">
            <w:pPr>
              <w:jc w:val="center"/>
              <w:rPr>
                <w:rFonts w:ascii="Times New Roman" w:hAnsi="Times New Roman" w:cs="Times New Roman"/>
                <w:b/>
                <w:sz w:val="16"/>
                <w:szCs w:val="16"/>
              </w:rPr>
            </w:pPr>
            <w:r w:rsidRPr="00BF65A7">
              <w:rPr>
                <w:rFonts w:ascii="Times New Roman" w:hAnsi="Times New Roman" w:cs="Times New Roman"/>
                <w:b/>
                <w:sz w:val="16"/>
                <w:szCs w:val="16"/>
              </w:rPr>
              <w:t>ASTM     D-1500</w:t>
            </w:r>
          </w:p>
        </w:tc>
        <w:tc>
          <w:tcPr>
            <w:tcW w:w="871" w:type="dxa"/>
            <w:vAlign w:val="center"/>
          </w:tcPr>
          <w:p w:rsidR="00930E2D" w:rsidRPr="00BF65A7" w:rsidRDefault="00930E2D" w:rsidP="00AF7DA0">
            <w:pPr>
              <w:jc w:val="center"/>
              <w:rPr>
                <w:rFonts w:ascii="Times New Roman" w:hAnsi="Times New Roman" w:cs="Times New Roman"/>
                <w:b/>
                <w:sz w:val="16"/>
                <w:szCs w:val="16"/>
              </w:rPr>
            </w:pPr>
            <w:r w:rsidRPr="00BF65A7">
              <w:rPr>
                <w:rFonts w:ascii="Times New Roman" w:hAnsi="Times New Roman" w:cs="Times New Roman"/>
                <w:b/>
                <w:sz w:val="16"/>
                <w:szCs w:val="16"/>
              </w:rPr>
              <w:t>IEC 60184</w:t>
            </w:r>
          </w:p>
        </w:tc>
        <w:tc>
          <w:tcPr>
            <w:tcW w:w="990" w:type="dxa"/>
            <w:vAlign w:val="center"/>
          </w:tcPr>
          <w:p w:rsidR="00930E2D" w:rsidRPr="00BF65A7" w:rsidRDefault="00930E2D" w:rsidP="00AF7DA0">
            <w:pPr>
              <w:jc w:val="center"/>
              <w:rPr>
                <w:rFonts w:ascii="Times New Roman" w:hAnsi="Times New Roman" w:cs="Times New Roman"/>
                <w:b/>
                <w:sz w:val="16"/>
                <w:szCs w:val="16"/>
              </w:rPr>
            </w:pPr>
            <w:r w:rsidRPr="00BF65A7">
              <w:rPr>
                <w:rFonts w:ascii="Times New Roman" w:hAnsi="Times New Roman" w:cs="Times New Roman"/>
                <w:b/>
                <w:sz w:val="16"/>
                <w:szCs w:val="16"/>
              </w:rPr>
              <w:t>IEC 60247</w:t>
            </w:r>
          </w:p>
        </w:tc>
        <w:tc>
          <w:tcPr>
            <w:tcW w:w="1058" w:type="dxa"/>
            <w:vAlign w:val="center"/>
          </w:tcPr>
          <w:p w:rsidR="00930E2D" w:rsidRPr="00BF65A7" w:rsidRDefault="00930E2D" w:rsidP="00AF7DA0">
            <w:pPr>
              <w:jc w:val="center"/>
              <w:rPr>
                <w:rFonts w:ascii="Times New Roman" w:hAnsi="Times New Roman" w:cs="Times New Roman"/>
                <w:b/>
                <w:sz w:val="16"/>
                <w:szCs w:val="16"/>
              </w:rPr>
            </w:pPr>
            <w:r w:rsidRPr="00BF65A7">
              <w:rPr>
                <w:rFonts w:ascii="Times New Roman" w:hAnsi="Times New Roman" w:cs="Times New Roman"/>
                <w:b/>
                <w:sz w:val="16"/>
                <w:szCs w:val="16"/>
              </w:rPr>
              <w:t>IEC 62021-1</w:t>
            </w:r>
          </w:p>
        </w:tc>
      </w:tr>
      <w:tr w:rsidR="00930E2D" w:rsidRPr="00BF65A7" w:rsidTr="00BF65A7">
        <w:trPr>
          <w:trHeight w:val="413"/>
          <w:jc w:val="center"/>
        </w:trPr>
        <w:tc>
          <w:tcPr>
            <w:tcW w:w="1047" w:type="dxa"/>
            <w:tcBorders>
              <w:tl2br w:val="single" w:sz="4" w:space="0" w:color="auto"/>
            </w:tcBorders>
          </w:tcPr>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 xml:space="preserve">  Parameters</w:t>
            </w:r>
          </w:p>
          <w:p w:rsidR="00930E2D" w:rsidRPr="00BF65A7" w:rsidRDefault="00930E2D" w:rsidP="00AF7DA0">
            <w:pPr>
              <w:rPr>
                <w:rFonts w:ascii="Times New Roman" w:hAnsi="Times New Roman" w:cs="Times New Roman"/>
                <w:b/>
                <w:sz w:val="16"/>
                <w:szCs w:val="16"/>
              </w:rPr>
            </w:pPr>
          </w:p>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Specimen</w:t>
            </w:r>
          </w:p>
        </w:tc>
        <w:tc>
          <w:tcPr>
            <w:tcW w:w="850" w:type="dxa"/>
          </w:tcPr>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Color</w:t>
            </w:r>
          </w:p>
        </w:tc>
        <w:tc>
          <w:tcPr>
            <w:tcW w:w="871" w:type="dxa"/>
          </w:tcPr>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Water Content (ppm)</w:t>
            </w:r>
          </w:p>
        </w:tc>
        <w:tc>
          <w:tcPr>
            <w:tcW w:w="990" w:type="dxa"/>
          </w:tcPr>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Dielectric Dissipation Factor</w:t>
            </w:r>
          </w:p>
        </w:tc>
        <w:tc>
          <w:tcPr>
            <w:tcW w:w="1058" w:type="dxa"/>
          </w:tcPr>
          <w:p w:rsidR="00F71F22"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 xml:space="preserve">Acidity </w:t>
            </w:r>
          </w:p>
          <w:p w:rsidR="00930E2D" w:rsidRPr="00BF65A7" w:rsidRDefault="00930E2D" w:rsidP="00AF7DA0">
            <w:pPr>
              <w:rPr>
                <w:rFonts w:ascii="Times New Roman" w:hAnsi="Times New Roman" w:cs="Times New Roman"/>
                <w:b/>
                <w:sz w:val="16"/>
                <w:szCs w:val="16"/>
              </w:rPr>
            </w:pPr>
            <w:r w:rsidRPr="00BF65A7">
              <w:rPr>
                <w:rFonts w:ascii="Times New Roman" w:hAnsi="Times New Roman" w:cs="Times New Roman"/>
                <w:b/>
                <w:sz w:val="16"/>
                <w:szCs w:val="16"/>
              </w:rPr>
              <w:t>(mg</w:t>
            </w:r>
            <w:r w:rsidR="00F71F22" w:rsidRPr="00BF65A7">
              <w:rPr>
                <w:rFonts w:ascii="Times New Roman" w:hAnsi="Times New Roman" w:cs="Times New Roman"/>
                <w:b/>
                <w:sz w:val="16"/>
                <w:szCs w:val="16"/>
              </w:rPr>
              <w:t xml:space="preserve"> </w:t>
            </w:r>
            <w:r w:rsidRPr="00BF65A7">
              <w:rPr>
                <w:rFonts w:ascii="Times New Roman" w:hAnsi="Times New Roman" w:cs="Times New Roman"/>
                <w:b/>
                <w:sz w:val="16"/>
                <w:szCs w:val="16"/>
              </w:rPr>
              <w:t>KOH/g)</w:t>
            </w:r>
          </w:p>
        </w:tc>
      </w:tr>
      <w:tr w:rsidR="00930E2D" w:rsidRPr="00BF65A7" w:rsidTr="00BF65A7">
        <w:trPr>
          <w:trHeight w:val="181"/>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GI</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27.6</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0.0025</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0.0089</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GII</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108.5</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0.0142</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0.0753</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A</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 xml:space="preserve">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104.5</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0.0140</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0.1018</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B</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 xml:space="preserve">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102.9</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0.0133</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0.0933</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C</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 xml:space="preserve">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103.3</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0.0139</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0.1107</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D</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 xml:space="preserve">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101.8</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0.0130</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0.0832</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E</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 xml:space="preserve">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102.1</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0.0130</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0.1156</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F</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 xml:space="preserve">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100.3</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0.0125</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0.0891</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G</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75.6</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0.0110</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0.1210</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H</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72.3</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0.0106</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0.0741</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I</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69.7</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0.0096</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0.0530</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J</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65.0</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0.0072</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0.0322</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K</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62.1</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0.0065</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0.0138</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40.8</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0.0032</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0.0096</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M</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27.3</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0.0024</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0.0085</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N</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26.8</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0.0022</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0.0079</w:t>
            </w:r>
          </w:p>
        </w:tc>
      </w:tr>
      <w:tr w:rsidR="00930E2D" w:rsidRPr="00BF65A7" w:rsidTr="00BF65A7">
        <w:trPr>
          <w:jc w:val="center"/>
        </w:trPr>
        <w:tc>
          <w:tcPr>
            <w:tcW w:w="1047"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O</w:t>
            </w:r>
          </w:p>
        </w:tc>
        <w:tc>
          <w:tcPr>
            <w:tcW w:w="85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L 0.5</w:t>
            </w:r>
          </w:p>
        </w:tc>
        <w:tc>
          <w:tcPr>
            <w:tcW w:w="871"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26.5</w:t>
            </w:r>
          </w:p>
        </w:tc>
        <w:tc>
          <w:tcPr>
            <w:tcW w:w="990"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0.0020</w:t>
            </w:r>
          </w:p>
        </w:tc>
        <w:tc>
          <w:tcPr>
            <w:tcW w:w="1058" w:type="dxa"/>
          </w:tcPr>
          <w:p w:rsidR="00930E2D" w:rsidRPr="00BF65A7" w:rsidRDefault="00930E2D" w:rsidP="00AF7DA0">
            <w:pPr>
              <w:jc w:val="center"/>
              <w:rPr>
                <w:rFonts w:ascii="Times New Roman" w:hAnsi="Times New Roman" w:cs="Times New Roman"/>
                <w:sz w:val="16"/>
                <w:szCs w:val="16"/>
              </w:rPr>
            </w:pPr>
            <w:r w:rsidRPr="00BF65A7">
              <w:rPr>
                <w:rFonts w:ascii="Times New Roman" w:hAnsi="Times New Roman" w:cs="Times New Roman"/>
                <w:sz w:val="16"/>
                <w:szCs w:val="16"/>
              </w:rPr>
              <w:t>0.0075</w:t>
            </w:r>
          </w:p>
        </w:tc>
      </w:tr>
    </w:tbl>
    <w:p w:rsidR="00025EB6" w:rsidRPr="00D2601A" w:rsidRDefault="009A5D69"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3</w:t>
      </w:r>
      <w:r w:rsidR="00737908" w:rsidRPr="00D2601A">
        <w:rPr>
          <w:rFonts w:ascii="Times New Roman" w:hAnsi="Times New Roman" w:cs="Times New Roman"/>
          <w:b/>
          <w:color w:val="auto"/>
          <w:sz w:val="20"/>
          <w:szCs w:val="20"/>
        </w:rPr>
        <w:t xml:space="preserve">.2 </w:t>
      </w:r>
      <w:r w:rsidR="00D72A21" w:rsidRPr="00D2601A">
        <w:rPr>
          <w:rFonts w:ascii="Times New Roman" w:hAnsi="Times New Roman" w:cs="Times New Roman"/>
          <w:b/>
          <w:color w:val="auto"/>
          <w:sz w:val="20"/>
          <w:szCs w:val="20"/>
        </w:rPr>
        <w:t>PROPERTIES</w:t>
      </w:r>
    </w:p>
    <w:p w:rsidR="00A362ED" w:rsidRPr="00D2601A" w:rsidRDefault="00A362ED"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The main oil properties are divided to the physical, chemical an</w:t>
      </w:r>
      <w:r w:rsidR="00DC78F5" w:rsidRPr="00D2601A">
        <w:rPr>
          <w:rFonts w:ascii="Times New Roman" w:hAnsi="Times New Roman" w:cs="Times New Roman"/>
          <w:sz w:val="20"/>
          <w:szCs w:val="20"/>
        </w:rPr>
        <w:t>d electrical characteristics [</w:t>
      </w:r>
      <w:r w:rsidR="009A5750" w:rsidRPr="00D2601A">
        <w:rPr>
          <w:rFonts w:ascii="Times New Roman" w:hAnsi="Times New Roman" w:cs="Times New Roman"/>
          <w:sz w:val="20"/>
          <w:szCs w:val="20"/>
        </w:rPr>
        <w:t>18</w:t>
      </w:r>
      <w:r w:rsidRPr="00D2601A">
        <w:rPr>
          <w:rFonts w:ascii="Times New Roman" w:hAnsi="Times New Roman" w:cs="Times New Roman"/>
          <w:sz w:val="20"/>
          <w:szCs w:val="20"/>
        </w:rPr>
        <w:t>].</w:t>
      </w:r>
    </w:p>
    <w:p w:rsidR="00B42BC9" w:rsidRPr="00D2601A" w:rsidRDefault="009A5D69"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3</w:t>
      </w:r>
      <w:r w:rsidR="00D43C8B" w:rsidRPr="00D2601A">
        <w:rPr>
          <w:rFonts w:ascii="Times New Roman" w:hAnsi="Times New Roman" w:cs="Times New Roman"/>
          <w:b/>
          <w:color w:val="auto"/>
          <w:sz w:val="20"/>
          <w:szCs w:val="20"/>
        </w:rPr>
        <w:t xml:space="preserve">.2.1 PHYSICAL PROPERTIES </w:t>
      </w:r>
    </w:p>
    <w:p w:rsidR="00B42BC9" w:rsidRPr="00D2601A" w:rsidRDefault="00B42BC9" w:rsidP="00D2601A">
      <w:pPr>
        <w:pStyle w:val="Heading1"/>
        <w:spacing w:before="0" w:line="240" w:lineRule="auto"/>
        <w:rPr>
          <w:rFonts w:ascii="Times New Roman" w:hAnsi="Times New Roman" w:cs="Times New Roman"/>
          <w:b/>
          <w:i/>
          <w:color w:val="auto"/>
          <w:sz w:val="20"/>
          <w:szCs w:val="20"/>
        </w:rPr>
      </w:pPr>
      <w:r w:rsidRPr="00D2601A">
        <w:rPr>
          <w:rFonts w:ascii="Times New Roman" w:hAnsi="Times New Roman" w:cs="Times New Roman"/>
          <w:b/>
          <w:color w:val="auto"/>
          <w:sz w:val="20"/>
          <w:szCs w:val="20"/>
        </w:rPr>
        <w:t>Color</w:t>
      </w:r>
    </w:p>
    <w:p w:rsidR="00025EB6" w:rsidRPr="00D2601A" w:rsidRDefault="00743524"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shd w:val="clear" w:color="auto" w:fill="FFFFFF"/>
        </w:rPr>
        <w:t>The color and appearance of</w:t>
      </w:r>
      <w:r w:rsidRPr="00D2601A">
        <w:rPr>
          <w:rStyle w:val="apple-converted-space"/>
          <w:rFonts w:ascii="Times New Roman" w:hAnsi="Times New Roman" w:cs="Times New Roman"/>
          <w:sz w:val="20"/>
          <w:szCs w:val="20"/>
          <w:shd w:val="clear" w:color="auto" w:fill="FFFFFF"/>
        </w:rPr>
        <w:t> transformer</w:t>
      </w:r>
      <w:r w:rsidRPr="00D2601A">
        <w:rPr>
          <w:rStyle w:val="Strong"/>
          <w:rFonts w:ascii="Times New Roman" w:hAnsi="Times New Roman" w:cs="Times New Roman"/>
          <w:b w:val="0"/>
          <w:sz w:val="20"/>
          <w:szCs w:val="20"/>
          <w:shd w:val="clear" w:color="auto" w:fill="FFFFFF"/>
        </w:rPr>
        <w:t xml:space="preserve"> oil</w:t>
      </w:r>
      <w:r w:rsidRPr="00D2601A">
        <w:rPr>
          <w:rStyle w:val="apple-converted-space"/>
          <w:rFonts w:ascii="Times New Roman" w:hAnsi="Times New Roman" w:cs="Times New Roman"/>
          <w:bCs/>
          <w:sz w:val="20"/>
          <w:szCs w:val="20"/>
          <w:shd w:val="clear" w:color="auto" w:fill="FFFFFF"/>
        </w:rPr>
        <w:t> </w:t>
      </w:r>
      <w:r w:rsidRPr="00D2601A">
        <w:rPr>
          <w:rFonts w:ascii="Times New Roman" w:hAnsi="Times New Roman" w:cs="Times New Roman"/>
          <w:sz w:val="20"/>
          <w:szCs w:val="20"/>
          <w:shd w:val="clear" w:color="auto" w:fill="FFFFFF"/>
        </w:rPr>
        <w:t>are useful for comparative evaluation</w:t>
      </w:r>
      <w:r w:rsidR="009A5D69" w:rsidRPr="00D2601A">
        <w:rPr>
          <w:rFonts w:ascii="Times New Roman" w:hAnsi="Times New Roman" w:cs="Times New Roman"/>
          <w:sz w:val="20"/>
          <w:szCs w:val="20"/>
          <w:shd w:val="clear" w:color="auto" w:fill="FFFFFF"/>
        </w:rPr>
        <w:t>.</w:t>
      </w:r>
      <w:r w:rsidRPr="00D2601A">
        <w:rPr>
          <w:rFonts w:ascii="Times New Roman" w:hAnsi="Times New Roman" w:cs="Times New Roman"/>
          <w:sz w:val="20"/>
          <w:szCs w:val="20"/>
          <w:shd w:val="clear" w:color="auto" w:fill="FFFFFF"/>
        </w:rPr>
        <w:t xml:space="preserve"> Cloudiness or sediment indicates free water, insoluble sludge or dirt particles. Darkening or dark oil is a sign of oil ageing. The analyzed oil color is assigned a number ranging from </w:t>
      </w:r>
      <w:r w:rsidR="007B18C7" w:rsidRPr="00D2601A">
        <w:rPr>
          <w:rFonts w:ascii="Times New Roman" w:hAnsi="Times New Roman" w:cs="Times New Roman"/>
          <w:sz w:val="20"/>
          <w:szCs w:val="20"/>
          <w:shd w:val="clear" w:color="auto" w:fill="FFFFFF"/>
        </w:rPr>
        <w:t>0</w:t>
      </w:r>
      <w:r w:rsidRPr="00D2601A">
        <w:rPr>
          <w:rFonts w:ascii="Times New Roman" w:hAnsi="Times New Roman" w:cs="Times New Roman"/>
          <w:sz w:val="20"/>
          <w:szCs w:val="20"/>
          <w:shd w:val="clear" w:color="auto" w:fill="FFFFFF"/>
        </w:rPr>
        <w:t xml:space="preserve"> to 8, whereby the level of discoloration is indicated by means of the rising color number.</w:t>
      </w:r>
      <w:r w:rsidRPr="00D2601A">
        <w:rPr>
          <w:rStyle w:val="apple-converted-space"/>
          <w:rFonts w:ascii="Times New Roman" w:hAnsi="Times New Roman" w:cs="Times New Roman"/>
          <w:sz w:val="20"/>
          <w:szCs w:val="20"/>
          <w:shd w:val="clear" w:color="auto" w:fill="FFFFFF"/>
        </w:rPr>
        <w:t> </w:t>
      </w:r>
      <w:r w:rsidRPr="00D2601A">
        <w:rPr>
          <w:rFonts w:ascii="Times New Roman" w:hAnsi="Times New Roman" w:cs="Times New Roman"/>
          <w:sz w:val="20"/>
          <w:szCs w:val="20"/>
        </w:rPr>
        <w:t>Good oils have–WHITE or PALE YELLOW color, Bad oils have AMBER color, very bad oils have- BROWN color and oil in disas</w:t>
      </w:r>
      <w:r w:rsidR="009A5750" w:rsidRPr="00D2601A">
        <w:rPr>
          <w:rFonts w:ascii="Times New Roman" w:hAnsi="Times New Roman" w:cs="Times New Roman"/>
          <w:sz w:val="20"/>
          <w:szCs w:val="20"/>
        </w:rPr>
        <w:t>trous condition –BLACK color [19</w:t>
      </w:r>
      <w:r w:rsidRPr="00D2601A">
        <w:rPr>
          <w:rFonts w:ascii="Times New Roman" w:hAnsi="Times New Roman" w:cs="Times New Roman"/>
          <w:sz w:val="20"/>
          <w:szCs w:val="20"/>
        </w:rPr>
        <w:t>].</w:t>
      </w:r>
      <w:r w:rsidR="007B18C7" w:rsidRPr="00D2601A">
        <w:rPr>
          <w:rFonts w:ascii="Times New Roman" w:hAnsi="Times New Roman" w:cs="Times New Roman"/>
          <w:sz w:val="20"/>
          <w:szCs w:val="20"/>
        </w:rPr>
        <w:t xml:space="preserve"> </w:t>
      </w:r>
      <w:r w:rsidR="00B42BC9" w:rsidRPr="00D2601A">
        <w:rPr>
          <w:rFonts w:ascii="Times New Roman" w:hAnsi="Times New Roman" w:cs="Times New Roman"/>
          <w:sz w:val="20"/>
          <w:szCs w:val="20"/>
        </w:rPr>
        <w:t xml:space="preserve">For </w:t>
      </w:r>
      <w:r w:rsidR="00FD020D" w:rsidRPr="00D2601A">
        <w:rPr>
          <w:rFonts w:ascii="Times New Roman" w:hAnsi="Times New Roman" w:cs="Times New Roman"/>
          <w:sz w:val="20"/>
          <w:szCs w:val="20"/>
        </w:rPr>
        <w:t>good</w:t>
      </w:r>
      <w:r w:rsidR="00B42BC9" w:rsidRPr="00D2601A">
        <w:rPr>
          <w:rFonts w:ascii="Times New Roman" w:hAnsi="Times New Roman" w:cs="Times New Roman"/>
          <w:sz w:val="20"/>
          <w:szCs w:val="20"/>
        </w:rPr>
        <w:t xml:space="preserve"> quality transformer base oil, color</w:t>
      </w:r>
      <w:r w:rsidR="00184982" w:rsidRPr="00D2601A">
        <w:rPr>
          <w:rFonts w:ascii="Times New Roman" w:hAnsi="Times New Roman" w:cs="Times New Roman"/>
          <w:sz w:val="20"/>
          <w:szCs w:val="20"/>
        </w:rPr>
        <w:t xml:space="preserve"> </w:t>
      </w:r>
      <w:r w:rsidR="00B42BC9" w:rsidRPr="00D2601A">
        <w:rPr>
          <w:rFonts w:ascii="Times New Roman" w:hAnsi="Times New Roman" w:cs="Times New Roman"/>
          <w:sz w:val="20"/>
          <w:szCs w:val="20"/>
        </w:rPr>
        <w:t>should not more than 0.5 on a colorimeter scale according to ASTM D-1500</w:t>
      </w:r>
      <w:r w:rsidR="007F344E" w:rsidRPr="00D2601A">
        <w:rPr>
          <w:rFonts w:ascii="Times New Roman" w:hAnsi="Times New Roman" w:cs="Times New Roman"/>
          <w:sz w:val="20"/>
          <w:szCs w:val="20"/>
        </w:rPr>
        <w:t xml:space="preserve"> [</w:t>
      </w:r>
      <w:r w:rsidR="00C02E1E" w:rsidRPr="00D2601A">
        <w:rPr>
          <w:rFonts w:ascii="Times New Roman" w:hAnsi="Times New Roman" w:cs="Times New Roman"/>
          <w:sz w:val="20"/>
          <w:szCs w:val="20"/>
        </w:rPr>
        <w:t>14</w:t>
      </w:r>
      <w:r w:rsidR="007F344E" w:rsidRPr="00D2601A">
        <w:rPr>
          <w:rFonts w:ascii="Times New Roman" w:hAnsi="Times New Roman" w:cs="Times New Roman"/>
          <w:sz w:val="20"/>
          <w:szCs w:val="20"/>
        </w:rPr>
        <w:t>]</w:t>
      </w:r>
      <w:r w:rsidR="00B42BC9" w:rsidRPr="00D2601A">
        <w:rPr>
          <w:rFonts w:ascii="Times New Roman" w:hAnsi="Times New Roman" w:cs="Times New Roman"/>
          <w:sz w:val="20"/>
          <w:szCs w:val="20"/>
        </w:rPr>
        <w:t>. It has been</w:t>
      </w:r>
      <w:r w:rsidR="00184982" w:rsidRPr="00D2601A">
        <w:rPr>
          <w:rFonts w:ascii="Times New Roman" w:hAnsi="Times New Roman" w:cs="Times New Roman"/>
          <w:sz w:val="20"/>
          <w:szCs w:val="20"/>
        </w:rPr>
        <w:t xml:space="preserve"> </w:t>
      </w:r>
      <w:r w:rsidR="00B42BC9" w:rsidRPr="00D2601A">
        <w:rPr>
          <w:rFonts w:ascii="Times New Roman" w:hAnsi="Times New Roman" w:cs="Times New Roman"/>
          <w:sz w:val="20"/>
          <w:szCs w:val="20"/>
        </w:rPr>
        <w:t xml:space="preserve">observed that after acid/clay treatment process on each combination, color improved from 0.5 to L 0.5.While the color of Group II base oil (Imported) is 0.0 (Colorless). </w:t>
      </w:r>
      <w:r w:rsidR="001E728F" w:rsidRPr="00D2601A">
        <w:rPr>
          <w:rFonts w:ascii="Times New Roman" w:hAnsi="Times New Roman" w:cs="Times New Roman"/>
          <w:b/>
          <w:sz w:val="20"/>
          <w:szCs w:val="20"/>
        </w:rPr>
        <w:t>Figure</w:t>
      </w:r>
      <w:r w:rsidR="005A61C8" w:rsidRPr="00D2601A">
        <w:rPr>
          <w:rFonts w:ascii="Times New Roman" w:hAnsi="Times New Roman" w:cs="Times New Roman"/>
          <w:b/>
          <w:sz w:val="20"/>
          <w:szCs w:val="20"/>
        </w:rPr>
        <w:t xml:space="preserve"> </w:t>
      </w:r>
      <w:r w:rsidR="00ED1062" w:rsidRPr="00D2601A">
        <w:rPr>
          <w:rFonts w:ascii="Times New Roman" w:hAnsi="Times New Roman" w:cs="Times New Roman"/>
          <w:b/>
          <w:sz w:val="20"/>
          <w:szCs w:val="20"/>
        </w:rPr>
        <w:t>3</w:t>
      </w:r>
      <w:r w:rsidR="00002E62" w:rsidRPr="00D2601A">
        <w:rPr>
          <w:rFonts w:ascii="Times New Roman" w:hAnsi="Times New Roman" w:cs="Times New Roman"/>
          <w:b/>
          <w:sz w:val="20"/>
          <w:szCs w:val="20"/>
        </w:rPr>
        <w:t>.</w:t>
      </w:r>
      <w:r w:rsidR="005A61C8" w:rsidRPr="00D2601A">
        <w:rPr>
          <w:rFonts w:ascii="Times New Roman" w:hAnsi="Times New Roman" w:cs="Times New Roman"/>
          <w:b/>
          <w:sz w:val="20"/>
          <w:szCs w:val="20"/>
        </w:rPr>
        <w:t>1</w:t>
      </w:r>
      <w:r w:rsidR="00184982" w:rsidRPr="00D2601A">
        <w:rPr>
          <w:rFonts w:ascii="Times New Roman" w:hAnsi="Times New Roman" w:cs="Times New Roman"/>
          <w:b/>
          <w:sz w:val="20"/>
          <w:szCs w:val="20"/>
        </w:rPr>
        <w:t xml:space="preserve"> </w:t>
      </w:r>
      <w:r w:rsidR="00C16B4C" w:rsidRPr="00D2601A">
        <w:rPr>
          <w:rFonts w:ascii="Times New Roman" w:hAnsi="Times New Roman" w:cs="Times New Roman"/>
          <w:sz w:val="20"/>
          <w:szCs w:val="20"/>
        </w:rPr>
        <w:t xml:space="preserve">shows the </w:t>
      </w:r>
      <w:r w:rsidR="007B18C7" w:rsidRPr="00D2601A">
        <w:rPr>
          <w:rFonts w:ascii="Times New Roman" w:hAnsi="Times New Roman" w:cs="Times New Roman"/>
          <w:sz w:val="20"/>
          <w:szCs w:val="20"/>
        </w:rPr>
        <w:t>c</w:t>
      </w:r>
      <w:r w:rsidR="00C16B4C" w:rsidRPr="00D2601A">
        <w:rPr>
          <w:rFonts w:ascii="Times New Roman" w:hAnsi="Times New Roman" w:cs="Times New Roman"/>
          <w:sz w:val="20"/>
          <w:szCs w:val="20"/>
        </w:rPr>
        <w:t>olor comparison of Group I base oil before and after (acid/clay treatment) and Group II base oil in this research work</w:t>
      </w:r>
      <w:r w:rsidR="00516F96" w:rsidRPr="00D2601A">
        <w:rPr>
          <w:rFonts w:ascii="Times New Roman" w:hAnsi="Times New Roman" w:cs="Times New Roman"/>
          <w:sz w:val="20"/>
          <w:szCs w:val="20"/>
        </w:rPr>
        <w:t>.</w:t>
      </w:r>
    </w:p>
    <w:p w:rsidR="00ED1062" w:rsidRPr="00D2601A" w:rsidRDefault="00ED1062" w:rsidP="00D2601A">
      <w:pPr>
        <w:spacing w:after="0" w:line="240" w:lineRule="auto"/>
        <w:jc w:val="both"/>
        <w:rPr>
          <w:rFonts w:ascii="Times New Roman" w:hAnsi="Times New Roman" w:cs="Times New Roman"/>
          <w:sz w:val="20"/>
          <w:szCs w:val="20"/>
        </w:rPr>
      </w:pPr>
      <w:r w:rsidRPr="00D2601A">
        <w:rPr>
          <w:noProof/>
          <w:sz w:val="20"/>
          <w:szCs w:val="20"/>
          <w:lang w:val="en-US" w:eastAsia="en-US"/>
        </w:rPr>
        <w:drawing>
          <wp:inline distT="0" distB="0" distL="0" distR="0" wp14:anchorId="2CC9014D" wp14:editId="3643C0D0">
            <wp:extent cx="2637946" cy="2065623"/>
            <wp:effectExtent l="0" t="0" r="0" b="0"/>
            <wp:docPr id="18" name="Picture 18" descr="D:\NED university\MIC-5th semester\Researh Material\pics\SAM_0918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D university\MIC-5th semester\Researh Material\pics\SAM_0918 (FILEminimiz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1162" cy="2107293"/>
                    </a:xfrm>
                    <a:prstGeom prst="rect">
                      <a:avLst/>
                    </a:prstGeom>
                    <a:noFill/>
                    <a:ln>
                      <a:noFill/>
                    </a:ln>
                  </pic:spPr>
                </pic:pic>
              </a:graphicData>
            </a:graphic>
          </wp:inline>
        </w:drawing>
      </w:r>
    </w:p>
    <w:p w:rsidR="00ED1062" w:rsidRPr="00D2601A" w:rsidRDefault="00ED1062" w:rsidP="00D2601A">
      <w:pPr>
        <w:pStyle w:val="Heading1"/>
        <w:spacing w:before="0" w:line="240" w:lineRule="auto"/>
        <w:jc w:val="center"/>
        <w:rPr>
          <w:rFonts w:ascii="Times New Roman" w:hAnsi="Times New Roman" w:cs="Times New Roman"/>
          <w:b/>
          <w:color w:val="auto"/>
          <w:sz w:val="20"/>
          <w:szCs w:val="20"/>
        </w:rPr>
      </w:pPr>
      <w:bookmarkStart w:id="0" w:name="page1"/>
      <w:bookmarkEnd w:id="0"/>
      <w:r w:rsidRPr="00D2601A">
        <w:rPr>
          <w:rFonts w:ascii="Times New Roman" w:hAnsi="Times New Roman" w:cs="Times New Roman"/>
          <w:b/>
          <w:color w:val="auto"/>
          <w:sz w:val="18"/>
          <w:szCs w:val="18"/>
        </w:rPr>
        <w:t>Figure 3.1. Color comparison of Group II base oil (Imported), Group I base oil (Local) and Group I base oil (after acid treatment</w:t>
      </w:r>
      <w:r w:rsidRPr="00D2601A">
        <w:rPr>
          <w:rFonts w:ascii="Times New Roman" w:hAnsi="Times New Roman" w:cs="Times New Roman"/>
          <w:b/>
          <w:color w:val="auto"/>
          <w:sz w:val="20"/>
          <w:szCs w:val="20"/>
        </w:rPr>
        <w:t>)</w:t>
      </w:r>
    </w:p>
    <w:p w:rsidR="00613A37" w:rsidRPr="00D2601A" w:rsidRDefault="00613A37"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Water Content</w:t>
      </w:r>
    </w:p>
    <w:p w:rsidR="007B18C7" w:rsidRPr="00D2601A" w:rsidRDefault="00743524" w:rsidP="00D2601A">
      <w:pPr>
        <w:autoSpaceDE w:val="0"/>
        <w:autoSpaceDN w:val="0"/>
        <w:adjustRightInd w:val="0"/>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shd w:val="clear" w:color="auto" w:fill="FFFFFF"/>
        </w:rPr>
        <w:t xml:space="preserve">Mineral insulating oil has low </w:t>
      </w:r>
      <w:r w:rsidRPr="00D2601A">
        <w:rPr>
          <w:rFonts w:ascii="Times New Roman" w:hAnsi="Times New Roman" w:cs="Times New Roman"/>
          <w:sz w:val="20"/>
          <w:szCs w:val="20"/>
        </w:rPr>
        <w:t>compatibility</w:t>
      </w:r>
      <w:r w:rsidRPr="00D2601A">
        <w:rPr>
          <w:rFonts w:ascii="Times New Roman" w:hAnsi="Times New Roman" w:cs="Times New Roman"/>
          <w:sz w:val="20"/>
          <w:szCs w:val="20"/>
          <w:shd w:val="clear" w:color="auto" w:fill="FFFFFF"/>
        </w:rPr>
        <w:t xml:space="preserve"> for water</w:t>
      </w:r>
      <w:r w:rsidR="00A201FC">
        <w:rPr>
          <w:rFonts w:ascii="Times New Roman" w:hAnsi="Times New Roman" w:cs="Times New Roman"/>
          <w:sz w:val="20"/>
          <w:szCs w:val="20"/>
          <w:shd w:val="clear" w:color="auto" w:fill="FFFFFF"/>
        </w:rPr>
        <w:t>,</w:t>
      </w:r>
      <w:r w:rsidRPr="00D2601A">
        <w:rPr>
          <w:rFonts w:ascii="Times New Roman" w:hAnsi="Times New Roman" w:cs="Times New Roman"/>
          <w:sz w:val="20"/>
          <w:szCs w:val="20"/>
          <w:shd w:val="clear" w:color="auto" w:fill="FFFFFF"/>
        </w:rPr>
        <w:t xml:space="preserve"> i.e. one drop of water at room temperature is good enough to saturate one </w:t>
      </w:r>
      <w:r w:rsidR="007B18C7" w:rsidRPr="00D2601A">
        <w:rPr>
          <w:rFonts w:ascii="Times New Roman" w:hAnsi="Times New Roman" w:cs="Times New Roman"/>
          <w:sz w:val="20"/>
          <w:szCs w:val="20"/>
          <w:shd w:val="clear" w:color="auto" w:fill="FFFFFF"/>
        </w:rPr>
        <w:t>litre</w:t>
      </w:r>
      <w:r w:rsidRPr="00D2601A">
        <w:rPr>
          <w:rFonts w:ascii="Times New Roman" w:hAnsi="Times New Roman" w:cs="Times New Roman"/>
          <w:sz w:val="20"/>
          <w:szCs w:val="20"/>
          <w:shd w:val="clear" w:color="auto" w:fill="FFFFFF"/>
        </w:rPr>
        <w:t xml:space="preserve"> of new insulating oil [2</w:t>
      </w:r>
      <w:r w:rsidR="00C02E1E" w:rsidRPr="00D2601A">
        <w:rPr>
          <w:rFonts w:ascii="Times New Roman" w:hAnsi="Times New Roman" w:cs="Times New Roman"/>
          <w:sz w:val="20"/>
          <w:szCs w:val="20"/>
          <w:shd w:val="clear" w:color="auto" w:fill="FFFFFF"/>
        </w:rPr>
        <w:t>0</w:t>
      </w:r>
      <w:r w:rsidRPr="00D2601A">
        <w:rPr>
          <w:rFonts w:ascii="Times New Roman" w:hAnsi="Times New Roman" w:cs="Times New Roman"/>
          <w:sz w:val="20"/>
          <w:szCs w:val="20"/>
          <w:shd w:val="clear" w:color="auto" w:fill="FFFFFF"/>
        </w:rPr>
        <w:t>]. Water content can reduce the insulating properties of the oil, which may result in dielectric breakdown. This is of particular importance with fluctuating temperatures because</w:t>
      </w:r>
      <w:r w:rsidR="007B18C7" w:rsidRPr="00D2601A">
        <w:rPr>
          <w:rFonts w:ascii="Times New Roman" w:hAnsi="Times New Roman" w:cs="Times New Roman"/>
          <w:sz w:val="20"/>
          <w:szCs w:val="20"/>
          <w:shd w:val="clear" w:color="auto" w:fill="FFFFFF"/>
        </w:rPr>
        <w:t xml:space="preserve"> </w:t>
      </w:r>
      <w:r w:rsidRPr="00D2601A">
        <w:rPr>
          <w:rFonts w:ascii="Times New Roman" w:hAnsi="Times New Roman" w:cs="Times New Roman"/>
          <w:sz w:val="20"/>
          <w:szCs w:val="20"/>
          <w:shd w:val="clear" w:color="auto" w:fill="FFFFFF"/>
        </w:rPr>
        <w:t>as the transformer cools down, any dissolved water will become free, resulting in poor insulating power and fluid degradation. Many transformers contain cellulose based paper used as insulation in the windings</w:t>
      </w:r>
      <w:r w:rsidR="007B18C7" w:rsidRPr="00D2601A">
        <w:rPr>
          <w:rFonts w:ascii="Times New Roman" w:hAnsi="Times New Roman" w:cs="Times New Roman"/>
          <w:sz w:val="20"/>
          <w:szCs w:val="20"/>
          <w:shd w:val="clear" w:color="auto" w:fill="FFFFFF"/>
        </w:rPr>
        <w:t>.</w:t>
      </w:r>
      <w:r w:rsidRPr="00D2601A">
        <w:rPr>
          <w:rFonts w:ascii="Times New Roman" w:hAnsi="Times New Roman" w:cs="Times New Roman"/>
          <w:sz w:val="20"/>
          <w:szCs w:val="20"/>
          <w:shd w:val="clear" w:color="auto" w:fill="FFFFFF"/>
        </w:rPr>
        <w:t xml:space="preserve"> </w:t>
      </w:r>
      <w:r w:rsidR="007B18C7" w:rsidRPr="00D2601A">
        <w:rPr>
          <w:rFonts w:ascii="Times New Roman" w:hAnsi="Times New Roman" w:cs="Times New Roman"/>
          <w:sz w:val="20"/>
          <w:szCs w:val="20"/>
          <w:shd w:val="clear" w:color="auto" w:fill="FFFFFF"/>
        </w:rPr>
        <w:t>W</w:t>
      </w:r>
      <w:r w:rsidRPr="00D2601A">
        <w:rPr>
          <w:rFonts w:ascii="Times New Roman" w:hAnsi="Times New Roman" w:cs="Times New Roman"/>
          <w:sz w:val="20"/>
          <w:szCs w:val="20"/>
          <w:shd w:val="clear" w:color="auto" w:fill="FFFFFF"/>
        </w:rPr>
        <w:t>ater degrad</w:t>
      </w:r>
      <w:r w:rsidR="00D91BF0" w:rsidRPr="00D2601A">
        <w:rPr>
          <w:rFonts w:ascii="Times New Roman" w:hAnsi="Times New Roman" w:cs="Times New Roman"/>
          <w:sz w:val="20"/>
          <w:szCs w:val="20"/>
          <w:shd w:val="clear" w:color="auto" w:fill="FFFFFF"/>
        </w:rPr>
        <w:t>es</w:t>
      </w:r>
      <w:r w:rsidRPr="00D2601A">
        <w:rPr>
          <w:rFonts w:ascii="Times New Roman" w:hAnsi="Times New Roman" w:cs="Times New Roman"/>
          <w:sz w:val="20"/>
          <w:szCs w:val="20"/>
          <w:shd w:val="clear" w:color="auto" w:fill="FFFFFF"/>
        </w:rPr>
        <w:t xml:space="preserve"> this cellulosic paper. The water in the oil allow</w:t>
      </w:r>
      <w:r w:rsidR="00D91BF0" w:rsidRPr="00D2601A">
        <w:rPr>
          <w:rFonts w:ascii="Times New Roman" w:hAnsi="Times New Roman" w:cs="Times New Roman"/>
          <w:sz w:val="20"/>
          <w:szCs w:val="20"/>
          <w:shd w:val="clear" w:color="auto" w:fill="FFFFFF"/>
        </w:rPr>
        <w:t>s</w:t>
      </w:r>
      <w:r w:rsidRPr="00D2601A">
        <w:rPr>
          <w:rFonts w:ascii="Times New Roman" w:hAnsi="Times New Roman" w:cs="Times New Roman"/>
          <w:sz w:val="20"/>
          <w:szCs w:val="20"/>
          <w:shd w:val="clear" w:color="auto" w:fill="FFFFFF"/>
        </w:rPr>
        <w:t xml:space="preserve"> </w:t>
      </w:r>
      <w:r w:rsidR="007B18C7" w:rsidRPr="00D2601A">
        <w:rPr>
          <w:rFonts w:ascii="Times New Roman" w:hAnsi="Times New Roman" w:cs="Times New Roman"/>
          <w:sz w:val="20"/>
          <w:szCs w:val="20"/>
          <w:shd w:val="clear" w:color="auto" w:fill="FFFFFF"/>
        </w:rPr>
        <w:t xml:space="preserve">dissolved </w:t>
      </w:r>
      <w:r w:rsidRPr="00D2601A">
        <w:rPr>
          <w:rFonts w:ascii="Times New Roman" w:hAnsi="Times New Roman" w:cs="Times New Roman"/>
          <w:sz w:val="20"/>
          <w:szCs w:val="20"/>
          <w:shd w:val="clear" w:color="auto" w:fill="FFFFFF"/>
        </w:rPr>
        <w:t>oxygen to act on the oil and causes oxidation and re</w:t>
      </w:r>
      <w:r w:rsidR="00C02E1E" w:rsidRPr="00D2601A">
        <w:rPr>
          <w:rFonts w:ascii="Times New Roman" w:hAnsi="Times New Roman" w:cs="Times New Roman"/>
          <w:sz w:val="20"/>
          <w:szCs w:val="20"/>
          <w:shd w:val="clear" w:color="auto" w:fill="FFFFFF"/>
        </w:rPr>
        <w:t>duce the dielectric constant</w:t>
      </w:r>
      <w:r w:rsidRPr="00D2601A">
        <w:rPr>
          <w:rFonts w:ascii="Times New Roman" w:hAnsi="Times New Roman" w:cs="Times New Roman"/>
          <w:sz w:val="20"/>
          <w:szCs w:val="20"/>
          <w:shd w:val="clear" w:color="auto" w:fill="FFFFFF"/>
        </w:rPr>
        <w:t>.</w:t>
      </w:r>
      <w:r w:rsidR="007B18C7" w:rsidRPr="00D2601A">
        <w:rPr>
          <w:rFonts w:ascii="Times New Roman" w:hAnsi="Times New Roman" w:cs="Times New Roman"/>
          <w:sz w:val="20"/>
          <w:szCs w:val="20"/>
          <w:shd w:val="clear" w:color="auto" w:fill="FFFFFF"/>
        </w:rPr>
        <w:t xml:space="preserve"> </w:t>
      </w:r>
      <w:r w:rsidR="00B47359" w:rsidRPr="00D2601A">
        <w:rPr>
          <w:rFonts w:ascii="Times New Roman" w:hAnsi="Times New Roman" w:cs="Times New Roman"/>
          <w:sz w:val="20"/>
          <w:szCs w:val="20"/>
        </w:rPr>
        <w:t>According to IEC 60184 [15</w:t>
      </w:r>
      <w:r w:rsidR="00613A37" w:rsidRPr="00D2601A">
        <w:rPr>
          <w:rFonts w:ascii="Times New Roman" w:hAnsi="Times New Roman" w:cs="Times New Roman"/>
          <w:sz w:val="20"/>
          <w:szCs w:val="20"/>
        </w:rPr>
        <w:t xml:space="preserve">], for a good quality transformer base oil, the moisture content should not be more than 30 ppm. It has been observed that the moisture content decreased with the increase of clay percentage treatment from 108.15 ppm to 26.5 ppm. While the moisture content of Group II base oil (Imported) was found to be 27.6 ppm. Therefore, in the view of result it can be concluded that the optimum value of clay for moisture control is lying between 2.0 to 2.25% (v/wt.). </w:t>
      </w:r>
    </w:p>
    <w:p w:rsidR="00F71F22" w:rsidRPr="00D2601A" w:rsidRDefault="00F71F22" w:rsidP="00D2601A">
      <w:pPr>
        <w:autoSpaceDE w:val="0"/>
        <w:autoSpaceDN w:val="0"/>
        <w:adjustRightInd w:val="0"/>
        <w:spacing w:after="0" w:line="240" w:lineRule="auto"/>
        <w:jc w:val="both"/>
        <w:rPr>
          <w:rFonts w:ascii="Times New Roman" w:hAnsi="Times New Roman" w:cs="Times New Roman"/>
          <w:sz w:val="20"/>
          <w:szCs w:val="20"/>
        </w:rPr>
      </w:pPr>
    </w:p>
    <w:p w:rsidR="00F71F22" w:rsidRPr="00D2601A" w:rsidRDefault="00F71F22" w:rsidP="00D2601A">
      <w:pPr>
        <w:autoSpaceDE w:val="0"/>
        <w:autoSpaceDN w:val="0"/>
        <w:adjustRightInd w:val="0"/>
        <w:spacing w:after="0" w:line="240" w:lineRule="auto"/>
        <w:jc w:val="both"/>
        <w:rPr>
          <w:rFonts w:ascii="Times New Roman" w:hAnsi="Times New Roman" w:cs="Times New Roman"/>
          <w:sz w:val="20"/>
          <w:szCs w:val="20"/>
        </w:rPr>
      </w:pPr>
      <w:r w:rsidRPr="00D2601A">
        <w:rPr>
          <w:rFonts w:ascii="Times New Roman" w:hAnsi="Times New Roman" w:cs="Times New Roman"/>
          <w:noProof/>
          <w:color w:val="FF0000"/>
          <w:sz w:val="20"/>
          <w:szCs w:val="20"/>
          <w:lang w:val="en-US" w:eastAsia="en-US"/>
        </w:rPr>
        <w:drawing>
          <wp:inline distT="0" distB="0" distL="0" distR="0" wp14:anchorId="6048BD3C" wp14:editId="6190802F">
            <wp:extent cx="2703730" cy="2105093"/>
            <wp:effectExtent l="0" t="0" r="2095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57FE" w:rsidRDefault="009757FE" w:rsidP="00D2601A">
      <w:pPr>
        <w:spacing w:after="0" w:line="240" w:lineRule="auto"/>
        <w:jc w:val="center"/>
        <w:rPr>
          <w:rFonts w:ascii="Times New Roman" w:hAnsi="Times New Roman" w:cs="Times New Roman"/>
          <w:b/>
          <w:color w:val="000000" w:themeColor="text1"/>
          <w:sz w:val="18"/>
          <w:szCs w:val="18"/>
        </w:rPr>
      </w:pPr>
      <w:r w:rsidRPr="00D2601A">
        <w:rPr>
          <w:rFonts w:ascii="Times New Roman" w:hAnsi="Times New Roman" w:cs="Times New Roman"/>
          <w:b/>
          <w:color w:val="000000" w:themeColor="text1"/>
          <w:sz w:val="18"/>
          <w:szCs w:val="18"/>
        </w:rPr>
        <w:t xml:space="preserve">Graph 3.1. Water content </w:t>
      </w:r>
      <w:r w:rsidR="00F71F22" w:rsidRPr="00D2601A">
        <w:rPr>
          <w:rFonts w:ascii="Times New Roman" w:hAnsi="Times New Roman" w:cs="Times New Roman"/>
          <w:b/>
          <w:color w:val="000000" w:themeColor="text1"/>
          <w:sz w:val="18"/>
          <w:szCs w:val="18"/>
        </w:rPr>
        <w:t xml:space="preserve">(ppm) </w:t>
      </w:r>
      <w:r w:rsidRPr="00D2601A">
        <w:rPr>
          <w:rFonts w:ascii="Times New Roman" w:hAnsi="Times New Roman" w:cs="Times New Roman"/>
          <w:b/>
          <w:color w:val="000000" w:themeColor="text1"/>
          <w:sz w:val="18"/>
          <w:szCs w:val="18"/>
        </w:rPr>
        <w:t>of Group I base oil (Spindle Oil) before and after Acid/Clay Treatment and Group II base oil (Imported Oil).</w:t>
      </w:r>
    </w:p>
    <w:p w:rsidR="00613A37" w:rsidRPr="00D2601A" w:rsidRDefault="004A188C" w:rsidP="004A188C">
      <w:pPr>
        <w:spacing w:after="0" w:line="240" w:lineRule="auto"/>
        <w:rPr>
          <w:rFonts w:ascii="Times New Roman" w:hAnsi="Times New Roman" w:cs="Times New Roman"/>
          <w:b/>
          <w:sz w:val="20"/>
          <w:szCs w:val="20"/>
        </w:rPr>
      </w:pPr>
      <w:r>
        <w:rPr>
          <w:rFonts w:ascii="Times New Roman" w:hAnsi="Times New Roman" w:cs="Times New Roman"/>
          <w:b/>
          <w:color w:val="000000" w:themeColor="text1"/>
          <w:sz w:val="18"/>
          <w:szCs w:val="18"/>
        </w:rPr>
        <w:br w:type="column"/>
      </w:r>
      <w:r w:rsidR="009757FE" w:rsidRPr="00D2601A">
        <w:rPr>
          <w:rFonts w:ascii="Times New Roman" w:hAnsi="Times New Roman" w:cs="Times New Roman"/>
          <w:b/>
          <w:sz w:val="20"/>
          <w:szCs w:val="20"/>
        </w:rPr>
        <w:t>3</w:t>
      </w:r>
      <w:r w:rsidR="00613A37" w:rsidRPr="00D2601A">
        <w:rPr>
          <w:rFonts w:ascii="Times New Roman" w:hAnsi="Times New Roman" w:cs="Times New Roman"/>
          <w:b/>
          <w:sz w:val="20"/>
          <w:szCs w:val="20"/>
        </w:rPr>
        <w:t>.2.2. ELECTRICAL PROPERTIES</w:t>
      </w:r>
    </w:p>
    <w:p w:rsidR="00613A37" w:rsidRPr="00D2601A" w:rsidRDefault="00613A37"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Dielectric Dissipation factor (DDF)</w:t>
      </w:r>
    </w:p>
    <w:p w:rsidR="007B18C7" w:rsidRPr="00D2601A" w:rsidRDefault="00743524"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Dielectric dissipation factor is also known as loss factor or tan delta of transformer oil. It is a diagnos</w:t>
      </w:r>
      <w:r w:rsidR="006E235A" w:rsidRPr="00D2601A">
        <w:rPr>
          <w:rFonts w:ascii="Times New Roman" w:hAnsi="Times New Roman" w:cs="Times New Roman"/>
          <w:sz w:val="20"/>
          <w:szCs w:val="20"/>
        </w:rPr>
        <w:softHyphen/>
      </w:r>
      <w:r w:rsidRPr="00D2601A">
        <w:rPr>
          <w:rFonts w:ascii="Times New Roman" w:hAnsi="Times New Roman" w:cs="Times New Roman"/>
          <w:sz w:val="20"/>
          <w:szCs w:val="20"/>
        </w:rPr>
        <w:t>tic method of diel</w:t>
      </w:r>
      <w:r w:rsidR="00D91BF0" w:rsidRPr="00D2601A">
        <w:rPr>
          <w:rFonts w:ascii="Times New Roman" w:hAnsi="Times New Roman" w:cs="Times New Roman"/>
          <w:sz w:val="20"/>
          <w:szCs w:val="20"/>
        </w:rPr>
        <w:t>ectrics to determine the quality o</w:t>
      </w:r>
      <w:r w:rsidRPr="00D2601A">
        <w:rPr>
          <w:rFonts w:ascii="Times New Roman" w:hAnsi="Times New Roman" w:cs="Times New Roman"/>
          <w:sz w:val="20"/>
          <w:szCs w:val="20"/>
        </w:rPr>
        <w:t>f</w:t>
      </w:r>
      <w:r w:rsidR="00D91BF0" w:rsidRPr="00D2601A">
        <w:rPr>
          <w:rFonts w:ascii="Times New Roman" w:hAnsi="Times New Roman" w:cs="Times New Roman"/>
          <w:sz w:val="20"/>
          <w:szCs w:val="20"/>
        </w:rPr>
        <w:t xml:space="preserve"> </w:t>
      </w:r>
      <w:r w:rsidR="00B47359" w:rsidRPr="00D2601A">
        <w:rPr>
          <w:rFonts w:ascii="Times New Roman" w:hAnsi="Times New Roman" w:cs="Times New Roman"/>
          <w:sz w:val="20"/>
          <w:szCs w:val="20"/>
        </w:rPr>
        <w:t>i</w:t>
      </w:r>
      <w:r w:rsidR="00C212D0" w:rsidRPr="00D2601A">
        <w:rPr>
          <w:rFonts w:ascii="Times New Roman" w:hAnsi="Times New Roman" w:cs="Times New Roman"/>
          <w:sz w:val="20"/>
          <w:szCs w:val="20"/>
        </w:rPr>
        <w:t>nsulation</w:t>
      </w:r>
      <w:r w:rsidR="000F0FF7" w:rsidRPr="00D2601A">
        <w:rPr>
          <w:rFonts w:ascii="Times New Roman" w:hAnsi="Times New Roman" w:cs="Times New Roman"/>
          <w:sz w:val="20"/>
          <w:szCs w:val="20"/>
        </w:rPr>
        <w:t>[21]</w:t>
      </w:r>
      <w:r w:rsidR="00C212D0" w:rsidRPr="00D2601A">
        <w:rPr>
          <w:rFonts w:ascii="Times New Roman" w:hAnsi="Times New Roman" w:cs="Times New Roman"/>
          <w:sz w:val="20"/>
          <w:szCs w:val="20"/>
        </w:rPr>
        <w:t>. Higher</w:t>
      </w:r>
      <w:r w:rsidRPr="00D2601A">
        <w:rPr>
          <w:rFonts w:ascii="Times New Roman" w:hAnsi="Times New Roman" w:cs="Times New Roman"/>
          <w:sz w:val="20"/>
          <w:szCs w:val="20"/>
        </w:rPr>
        <w:t> value for the loss angle indicates a high deg</w:t>
      </w:r>
      <w:r w:rsidR="00C212D0" w:rsidRPr="00D2601A">
        <w:rPr>
          <w:rFonts w:ascii="Times New Roman" w:hAnsi="Times New Roman" w:cs="Times New Roman"/>
          <w:sz w:val="20"/>
          <w:szCs w:val="20"/>
        </w:rPr>
        <w:t>-</w:t>
      </w:r>
      <w:r w:rsidRPr="00D2601A">
        <w:rPr>
          <w:rFonts w:ascii="Times New Roman" w:hAnsi="Times New Roman" w:cs="Times New Roman"/>
          <w:sz w:val="20"/>
          <w:szCs w:val="20"/>
        </w:rPr>
        <w:t>r</w:t>
      </w:r>
      <w:r w:rsidR="00C212D0" w:rsidRPr="00D2601A">
        <w:rPr>
          <w:rFonts w:ascii="Times New Roman" w:hAnsi="Times New Roman" w:cs="Times New Roman"/>
          <w:sz w:val="20"/>
          <w:szCs w:val="20"/>
        </w:rPr>
        <w:t>e</w:t>
      </w:r>
      <w:r w:rsidRPr="00D2601A">
        <w:rPr>
          <w:rFonts w:ascii="Times New Roman" w:hAnsi="Times New Roman" w:cs="Times New Roman"/>
          <w:sz w:val="20"/>
          <w:szCs w:val="20"/>
        </w:rPr>
        <w:t>e of </w:t>
      </w:r>
      <w:r w:rsidR="00C212D0" w:rsidRPr="00D2601A">
        <w:rPr>
          <w:rFonts w:ascii="Times New Roman" w:hAnsi="Times New Roman" w:cs="Times New Roman"/>
          <w:sz w:val="20"/>
          <w:szCs w:val="20"/>
        </w:rPr>
        <w:t>contamination. </w:t>
      </w:r>
      <w:r w:rsidRPr="00D2601A">
        <w:rPr>
          <w:rFonts w:ascii="Times New Roman" w:hAnsi="Times New Roman" w:cs="Times New Roman"/>
          <w:sz w:val="20"/>
          <w:szCs w:val="20"/>
        </w:rPr>
        <w:t>Hence it is desirable to have loss angle</w:t>
      </w:r>
      <w:r w:rsidR="007B18C7" w:rsidRPr="00D2601A">
        <w:rPr>
          <w:rFonts w:ascii="Times New Roman" w:hAnsi="Times New Roman" w:cs="Times New Roman"/>
          <w:sz w:val="20"/>
          <w:szCs w:val="20"/>
        </w:rPr>
        <w:t xml:space="preserve">(tanδ) </w:t>
      </w:r>
      <w:r w:rsidRPr="00D2601A">
        <w:rPr>
          <w:rFonts w:ascii="Times New Roman" w:hAnsi="Times New Roman" w:cs="Times New Roman"/>
          <w:sz w:val="20"/>
          <w:szCs w:val="20"/>
        </w:rPr>
        <w:t>as small as possible.</w:t>
      </w:r>
      <w:r w:rsidR="007B18C7" w:rsidRPr="00D2601A">
        <w:rPr>
          <w:rFonts w:ascii="Times New Roman" w:hAnsi="Times New Roman" w:cs="Times New Roman"/>
          <w:sz w:val="20"/>
          <w:szCs w:val="20"/>
        </w:rPr>
        <w:t xml:space="preserve"> According to IEC 60247 DDF @ 9</w:t>
      </w:r>
      <w:r w:rsidR="00B47359" w:rsidRPr="00D2601A">
        <w:rPr>
          <w:rFonts w:ascii="Times New Roman" w:hAnsi="Times New Roman" w:cs="Times New Roman"/>
          <w:sz w:val="20"/>
          <w:szCs w:val="20"/>
        </w:rPr>
        <w:t>0 ranged not more than 0.005 [16</w:t>
      </w:r>
      <w:r w:rsidR="007B18C7" w:rsidRPr="00D2601A">
        <w:rPr>
          <w:rFonts w:ascii="Times New Roman" w:hAnsi="Times New Roman" w:cs="Times New Roman"/>
          <w:sz w:val="20"/>
          <w:szCs w:val="20"/>
        </w:rPr>
        <w:t>]. It has been noticed that, the DDF @ 900 improved after acid /clay treat</w:t>
      </w:r>
      <w:r w:rsidR="006E235A" w:rsidRPr="00D2601A">
        <w:rPr>
          <w:rFonts w:ascii="Times New Roman" w:hAnsi="Times New Roman" w:cs="Times New Roman"/>
          <w:sz w:val="20"/>
          <w:szCs w:val="20"/>
        </w:rPr>
        <w:softHyphen/>
      </w:r>
      <w:r w:rsidR="007B18C7" w:rsidRPr="00D2601A">
        <w:rPr>
          <w:rFonts w:ascii="Times New Roman" w:hAnsi="Times New Roman" w:cs="Times New Roman"/>
          <w:sz w:val="20"/>
          <w:szCs w:val="20"/>
        </w:rPr>
        <w:t>ment process of Group I base oil from 0.0142 to 0.0024. While the DDF @ 90 of Group II base oil (Imported) is 0.0025. It can be concluded that the optimum value of clay for DDF control is lying be</w:t>
      </w:r>
      <w:r w:rsidR="006E235A" w:rsidRPr="00D2601A">
        <w:rPr>
          <w:rFonts w:ascii="Times New Roman" w:hAnsi="Times New Roman" w:cs="Times New Roman"/>
          <w:sz w:val="20"/>
          <w:szCs w:val="20"/>
        </w:rPr>
        <w:softHyphen/>
      </w:r>
      <w:r w:rsidR="007B18C7" w:rsidRPr="00D2601A">
        <w:rPr>
          <w:rFonts w:ascii="Times New Roman" w:hAnsi="Times New Roman" w:cs="Times New Roman"/>
          <w:sz w:val="20"/>
          <w:szCs w:val="20"/>
        </w:rPr>
        <w:t>tween 2.0 to 2.25% (v/wt.).</w:t>
      </w:r>
    </w:p>
    <w:p w:rsidR="009757FE" w:rsidRPr="00D2601A" w:rsidRDefault="009757FE" w:rsidP="00D2601A">
      <w:pPr>
        <w:spacing w:after="0" w:line="240" w:lineRule="auto"/>
        <w:jc w:val="both"/>
        <w:rPr>
          <w:rFonts w:ascii="Times New Roman" w:hAnsi="Times New Roman" w:cs="Times New Roman"/>
          <w:sz w:val="20"/>
          <w:szCs w:val="20"/>
        </w:rPr>
      </w:pPr>
    </w:p>
    <w:p w:rsidR="009757FE" w:rsidRPr="00D2601A" w:rsidRDefault="009757FE" w:rsidP="00D2601A">
      <w:pPr>
        <w:spacing w:after="0" w:line="240" w:lineRule="auto"/>
        <w:jc w:val="both"/>
        <w:rPr>
          <w:rFonts w:ascii="Times New Roman" w:hAnsi="Times New Roman" w:cs="Times New Roman"/>
          <w:b/>
          <w:color w:val="000000" w:themeColor="text1"/>
          <w:sz w:val="20"/>
          <w:szCs w:val="20"/>
        </w:rPr>
      </w:pPr>
      <w:r w:rsidRPr="00D2601A">
        <w:rPr>
          <w:rFonts w:ascii="Times New Roman" w:hAnsi="Times New Roman" w:cs="Times New Roman"/>
          <w:noProof/>
          <w:color w:val="943634" w:themeColor="accent2" w:themeShade="BF"/>
          <w:sz w:val="20"/>
          <w:szCs w:val="20"/>
          <w:lang w:val="en-US" w:eastAsia="en-US"/>
        </w:rPr>
        <w:drawing>
          <wp:inline distT="0" distB="0" distL="0" distR="0" wp14:anchorId="7F927FA9" wp14:editId="32386883">
            <wp:extent cx="3105013" cy="2414279"/>
            <wp:effectExtent l="0" t="0" r="19685"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57FE" w:rsidRPr="00D2601A" w:rsidRDefault="009757FE" w:rsidP="00D2601A">
      <w:pPr>
        <w:spacing w:after="0" w:line="240" w:lineRule="auto"/>
        <w:jc w:val="center"/>
        <w:rPr>
          <w:rFonts w:ascii="Times New Roman" w:hAnsi="Times New Roman" w:cs="Times New Roman"/>
          <w:b/>
          <w:color w:val="000000" w:themeColor="text1"/>
          <w:sz w:val="18"/>
          <w:szCs w:val="18"/>
        </w:rPr>
      </w:pPr>
      <w:r w:rsidRPr="00D2601A">
        <w:rPr>
          <w:rFonts w:ascii="Times New Roman" w:hAnsi="Times New Roman" w:cs="Times New Roman"/>
          <w:b/>
          <w:color w:val="000000" w:themeColor="text1"/>
          <w:sz w:val="18"/>
          <w:szCs w:val="18"/>
        </w:rPr>
        <w:t>Graph 3.2. Dielectric Dissipation Factor of Group I base oil (Spindle Oil) before and after Acid/Clay Treatment and Group II base oil (Imported Oil).</w:t>
      </w:r>
    </w:p>
    <w:p w:rsidR="00613A37" w:rsidRPr="00D2601A" w:rsidRDefault="009757FE"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i/>
          <w:color w:val="auto"/>
          <w:sz w:val="20"/>
          <w:szCs w:val="20"/>
        </w:rPr>
        <w:t>3</w:t>
      </w:r>
      <w:r w:rsidR="00613A37" w:rsidRPr="00D2601A">
        <w:rPr>
          <w:rFonts w:ascii="Times New Roman" w:hAnsi="Times New Roman" w:cs="Times New Roman"/>
          <w:b/>
          <w:i/>
          <w:color w:val="auto"/>
          <w:sz w:val="20"/>
          <w:szCs w:val="20"/>
        </w:rPr>
        <w:t>.2.3.</w:t>
      </w:r>
      <w:r w:rsidR="00613A37" w:rsidRPr="00D2601A">
        <w:rPr>
          <w:rFonts w:ascii="Times New Roman" w:hAnsi="Times New Roman" w:cs="Times New Roman"/>
          <w:b/>
          <w:color w:val="auto"/>
          <w:sz w:val="20"/>
          <w:szCs w:val="20"/>
        </w:rPr>
        <w:t xml:space="preserve"> CHEMICAL PROPERTIES </w:t>
      </w:r>
    </w:p>
    <w:p w:rsidR="00613A37" w:rsidRPr="00D2601A" w:rsidRDefault="00613A37"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Total Acid Number</w:t>
      </w:r>
    </w:p>
    <w:p w:rsidR="00396157" w:rsidRPr="00D2601A" w:rsidRDefault="00396157" w:rsidP="00D2601A">
      <w:pPr>
        <w:spacing w:after="0" w:line="240" w:lineRule="auto"/>
        <w:jc w:val="both"/>
        <w:rPr>
          <w:rFonts w:ascii="Times New Roman" w:hAnsi="Times New Roman" w:cs="Times New Roman"/>
          <w:sz w:val="20"/>
          <w:szCs w:val="20"/>
        </w:rPr>
      </w:pPr>
      <w:r w:rsidRPr="00D2601A">
        <w:rPr>
          <w:rFonts w:ascii="Times New Roman" w:eastAsia="Times New Roman" w:hAnsi="Times New Roman" w:cs="Times New Roman"/>
          <w:sz w:val="20"/>
          <w:szCs w:val="20"/>
        </w:rPr>
        <w:t>Total acidity also called total acid number (TAN) refers as a guide in the quality control of</w:t>
      </w:r>
      <w:r w:rsidR="007B18C7" w:rsidRPr="00D2601A">
        <w:rPr>
          <w:rFonts w:ascii="Times New Roman" w:eastAsia="Times New Roman" w:hAnsi="Times New Roman" w:cs="Times New Roman"/>
          <w:sz w:val="20"/>
          <w:szCs w:val="20"/>
        </w:rPr>
        <w:t xml:space="preserve"> o</w:t>
      </w:r>
      <w:r w:rsidRPr="00D2601A">
        <w:rPr>
          <w:rFonts w:ascii="Times New Roman" w:eastAsia="Times New Roman" w:hAnsi="Times New Roman" w:cs="Times New Roman"/>
          <w:sz w:val="20"/>
          <w:szCs w:val="20"/>
        </w:rPr>
        <w:t>il and also as a measure of</w:t>
      </w:r>
      <w:r w:rsidR="00B47359" w:rsidRPr="00D2601A">
        <w:rPr>
          <w:rFonts w:ascii="Times New Roman" w:eastAsia="Times New Roman" w:hAnsi="Times New Roman" w:cs="Times New Roman"/>
          <w:sz w:val="20"/>
          <w:szCs w:val="20"/>
        </w:rPr>
        <w:t xml:space="preserve"> transformer oil degradation </w:t>
      </w:r>
      <w:r w:rsidR="000F0FF7" w:rsidRPr="00D2601A">
        <w:rPr>
          <w:rFonts w:ascii="Times New Roman" w:eastAsia="Times New Roman" w:hAnsi="Times New Roman" w:cs="Times New Roman"/>
          <w:sz w:val="20"/>
          <w:szCs w:val="20"/>
        </w:rPr>
        <w:t>[22]</w:t>
      </w:r>
      <w:r w:rsidRPr="00D2601A">
        <w:rPr>
          <w:rFonts w:ascii="Times New Roman" w:eastAsia="Times New Roman" w:hAnsi="Times New Roman" w:cs="Times New Roman"/>
          <w:sz w:val="20"/>
          <w:szCs w:val="20"/>
        </w:rPr>
        <w:t>.</w:t>
      </w:r>
      <w:r w:rsidRPr="00D2601A">
        <w:rPr>
          <w:rFonts w:ascii="Times New Roman" w:hAnsi="Times New Roman" w:cs="Times New Roman"/>
          <w:sz w:val="20"/>
          <w:szCs w:val="20"/>
        </w:rPr>
        <w:t xml:space="preserve"> Acidity increas</w:t>
      </w:r>
      <w:r w:rsidR="00D2601A">
        <w:rPr>
          <w:rFonts w:ascii="Times New Roman" w:hAnsi="Times New Roman" w:cs="Times New Roman"/>
          <w:sz w:val="20"/>
          <w:szCs w:val="20"/>
        </w:rPr>
        <w:t xml:space="preserve">es the oxidation process in the </w:t>
      </w:r>
      <w:r w:rsidRPr="00D2601A">
        <w:rPr>
          <w:rFonts w:ascii="Times New Roman" w:hAnsi="Times New Roman" w:cs="Times New Roman"/>
          <w:sz w:val="20"/>
          <w:szCs w:val="20"/>
        </w:rPr>
        <w:t>trans</w:t>
      </w:r>
      <w:r w:rsidR="00D2601A">
        <w:rPr>
          <w:rFonts w:ascii="Times New Roman" w:hAnsi="Times New Roman" w:cs="Times New Roman"/>
          <w:sz w:val="20"/>
          <w:szCs w:val="20"/>
        </w:rPr>
        <w:t xml:space="preserve">former </w:t>
      </w:r>
      <w:r w:rsidRPr="00D2601A">
        <w:rPr>
          <w:rFonts w:ascii="Times New Roman" w:hAnsi="Times New Roman" w:cs="Times New Roman"/>
          <w:sz w:val="20"/>
          <w:szCs w:val="20"/>
        </w:rPr>
        <w:t>oil.</w:t>
      </w:r>
      <w:r w:rsidR="00D91BF0" w:rsidRPr="00D2601A">
        <w:rPr>
          <w:rFonts w:ascii="Times New Roman" w:hAnsi="Times New Roman" w:cs="Times New Roman"/>
          <w:sz w:val="20"/>
          <w:szCs w:val="20"/>
        </w:rPr>
        <w:t xml:space="preserve"> </w:t>
      </w:r>
      <w:r w:rsidR="00D2601A">
        <w:rPr>
          <w:rFonts w:ascii="Times New Roman" w:hAnsi="Times New Roman" w:cs="Times New Roman"/>
          <w:sz w:val="20"/>
          <w:szCs w:val="20"/>
        </w:rPr>
        <w:t xml:space="preserve">Acid presence </w:t>
      </w:r>
      <w:r w:rsidRPr="00D2601A">
        <w:rPr>
          <w:rFonts w:ascii="Times New Roman" w:hAnsi="Times New Roman" w:cs="Times New Roman"/>
          <w:sz w:val="20"/>
          <w:szCs w:val="20"/>
        </w:rPr>
        <w:t>also accelerates</w:t>
      </w:r>
      <w:r w:rsidR="008323E5" w:rsidRPr="00D2601A">
        <w:rPr>
          <w:rFonts w:ascii="Times New Roman" w:hAnsi="Times New Roman" w:cs="Times New Roman"/>
          <w:sz w:val="20"/>
          <w:szCs w:val="20"/>
        </w:rPr>
        <w:t xml:space="preserve"> </w:t>
      </w:r>
      <w:r w:rsidR="00D2601A">
        <w:rPr>
          <w:rFonts w:ascii="Times New Roman" w:hAnsi="Times New Roman" w:cs="Times New Roman"/>
          <w:sz w:val="20"/>
          <w:szCs w:val="20"/>
        </w:rPr>
        <w:t xml:space="preserve">rusting of iro </w:t>
      </w:r>
      <w:r w:rsidRPr="00D2601A">
        <w:rPr>
          <w:rFonts w:ascii="Times New Roman" w:hAnsi="Times New Roman" w:cs="Times New Roman"/>
          <w:sz w:val="20"/>
          <w:szCs w:val="20"/>
        </w:rPr>
        <w:t xml:space="preserve">in combination with moisture. </w:t>
      </w:r>
    </w:p>
    <w:p w:rsidR="009757FE" w:rsidRPr="00D2601A" w:rsidRDefault="00613A37"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 xml:space="preserve">According to IEC -62021-1 total acid number </w:t>
      </w:r>
      <w:r w:rsidR="00D91BF0" w:rsidRPr="00D2601A">
        <w:rPr>
          <w:rFonts w:ascii="Times New Roman" w:hAnsi="Times New Roman" w:cs="Times New Roman"/>
          <w:sz w:val="20"/>
          <w:szCs w:val="20"/>
        </w:rPr>
        <w:t xml:space="preserve">should </w:t>
      </w:r>
      <w:r w:rsidRPr="00D2601A">
        <w:rPr>
          <w:rFonts w:ascii="Times New Roman" w:hAnsi="Times New Roman" w:cs="Times New Roman"/>
          <w:sz w:val="20"/>
          <w:szCs w:val="20"/>
        </w:rPr>
        <w:t xml:space="preserve">not </w:t>
      </w:r>
      <w:r w:rsidR="00D91BF0" w:rsidRPr="00D2601A">
        <w:rPr>
          <w:rFonts w:ascii="Times New Roman" w:hAnsi="Times New Roman" w:cs="Times New Roman"/>
          <w:sz w:val="20"/>
          <w:szCs w:val="20"/>
        </w:rPr>
        <w:t xml:space="preserve">be </w:t>
      </w:r>
      <w:r w:rsidR="00B47359" w:rsidRPr="00D2601A">
        <w:rPr>
          <w:rFonts w:ascii="Times New Roman" w:hAnsi="Times New Roman" w:cs="Times New Roman"/>
          <w:sz w:val="20"/>
          <w:szCs w:val="20"/>
        </w:rPr>
        <w:t>more than 0.01 mg KOH/g [17</w:t>
      </w:r>
      <w:r w:rsidRPr="00D2601A">
        <w:rPr>
          <w:rFonts w:ascii="Times New Roman" w:hAnsi="Times New Roman" w:cs="Times New Roman"/>
          <w:sz w:val="20"/>
          <w:szCs w:val="20"/>
        </w:rPr>
        <w:t xml:space="preserve">]. It has been observed that, the total acid number improved after acid /clay treatment process of Group I base oil from 0.075 to 0.0075. While the total acidity of Group II base oil (Imported) is 0.0089. </w:t>
      </w:r>
      <w:r w:rsidR="008323E5" w:rsidRPr="00D2601A">
        <w:rPr>
          <w:rFonts w:ascii="Times New Roman" w:hAnsi="Times New Roman" w:cs="Times New Roman"/>
          <w:sz w:val="20"/>
          <w:szCs w:val="20"/>
        </w:rPr>
        <w:t>I</w:t>
      </w:r>
      <w:r w:rsidRPr="00D2601A">
        <w:rPr>
          <w:rFonts w:ascii="Times New Roman" w:hAnsi="Times New Roman" w:cs="Times New Roman"/>
          <w:sz w:val="20"/>
          <w:szCs w:val="20"/>
        </w:rPr>
        <w:t>t can be concluded that the optimum value of clay for TAN is lying between 2.0 to 2.25% (v/wt.).</w:t>
      </w:r>
    </w:p>
    <w:p w:rsidR="00F71F22" w:rsidRPr="00D2601A" w:rsidRDefault="00F71F22" w:rsidP="00D2601A">
      <w:pPr>
        <w:spacing w:after="0" w:line="240" w:lineRule="auto"/>
        <w:jc w:val="both"/>
        <w:rPr>
          <w:rFonts w:ascii="Times New Roman" w:hAnsi="Times New Roman" w:cs="Times New Roman"/>
          <w:sz w:val="20"/>
          <w:szCs w:val="20"/>
        </w:rPr>
      </w:pPr>
    </w:p>
    <w:p w:rsidR="00F1039F" w:rsidRDefault="009757FE" w:rsidP="00F1039F">
      <w:pPr>
        <w:spacing w:after="0" w:line="240" w:lineRule="auto"/>
        <w:jc w:val="center"/>
        <w:rPr>
          <w:rFonts w:ascii="Times New Roman" w:hAnsi="Times New Roman" w:cs="Times New Roman"/>
          <w:b/>
          <w:color w:val="000000" w:themeColor="text1"/>
          <w:sz w:val="18"/>
          <w:szCs w:val="18"/>
        </w:rPr>
      </w:pPr>
      <w:r w:rsidRPr="00D2601A">
        <w:rPr>
          <w:rFonts w:ascii="Times New Roman" w:hAnsi="Times New Roman" w:cs="Times New Roman"/>
          <w:noProof/>
          <w:color w:val="943634" w:themeColor="accent2" w:themeShade="BF"/>
          <w:sz w:val="20"/>
          <w:szCs w:val="20"/>
          <w:lang w:val="en-US" w:eastAsia="en-US"/>
        </w:rPr>
        <w:drawing>
          <wp:inline distT="0" distB="0" distL="0" distR="0" wp14:anchorId="390E35A5" wp14:editId="712CBC6D">
            <wp:extent cx="2703730" cy="2249819"/>
            <wp:effectExtent l="0" t="0" r="2095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57FE" w:rsidRPr="00F1039F" w:rsidRDefault="009757FE" w:rsidP="00F1039F">
      <w:pPr>
        <w:spacing w:after="0" w:line="240" w:lineRule="auto"/>
        <w:jc w:val="center"/>
        <w:rPr>
          <w:rFonts w:ascii="Times New Roman" w:hAnsi="Times New Roman" w:cs="Times New Roman"/>
          <w:noProof/>
          <w:color w:val="943634" w:themeColor="accent2" w:themeShade="BF"/>
          <w:sz w:val="18"/>
          <w:szCs w:val="18"/>
        </w:rPr>
      </w:pPr>
      <w:r w:rsidRPr="00F1039F">
        <w:rPr>
          <w:rFonts w:ascii="Times New Roman" w:hAnsi="Times New Roman" w:cs="Times New Roman"/>
          <w:b/>
          <w:color w:val="000000" w:themeColor="text1"/>
          <w:sz w:val="18"/>
          <w:szCs w:val="18"/>
        </w:rPr>
        <w:t xml:space="preserve">Graph 3.3. Total Acid Number </w:t>
      </w:r>
      <w:r w:rsidR="00F71F22" w:rsidRPr="00F1039F">
        <w:rPr>
          <w:rFonts w:ascii="Times New Roman" w:hAnsi="Times New Roman" w:cs="Times New Roman"/>
          <w:b/>
          <w:color w:val="000000" w:themeColor="text1"/>
          <w:sz w:val="18"/>
          <w:szCs w:val="18"/>
        </w:rPr>
        <w:t xml:space="preserve">(mg KOH/g) </w:t>
      </w:r>
      <w:r w:rsidRPr="00F1039F">
        <w:rPr>
          <w:rFonts w:ascii="Times New Roman" w:hAnsi="Times New Roman" w:cs="Times New Roman"/>
          <w:b/>
          <w:color w:val="000000" w:themeColor="text1"/>
          <w:sz w:val="18"/>
          <w:szCs w:val="18"/>
        </w:rPr>
        <w:t>of Group I base oil (Spindle Oil) before and after Acid/Clay Treatment and Group II base oil (Imported Oil).</w:t>
      </w:r>
    </w:p>
    <w:p w:rsidR="00661AA9" w:rsidRDefault="00661AA9" w:rsidP="00D2601A">
      <w:pPr>
        <w:pStyle w:val="Heading3"/>
        <w:spacing w:before="0" w:line="240" w:lineRule="auto"/>
        <w:rPr>
          <w:rFonts w:asciiTheme="minorBidi" w:hAnsiTheme="minorBidi" w:cstheme="minorBidi"/>
          <w:color w:val="auto"/>
          <w:sz w:val="20"/>
          <w:szCs w:val="20"/>
        </w:rPr>
      </w:pPr>
    </w:p>
    <w:p w:rsidR="00575047" w:rsidRPr="00D635DE" w:rsidRDefault="00D43C8B" w:rsidP="00D2601A">
      <w:pPr>
        <w:pStyle w:val="Heading3"/>
        <w:spacing w:before="0" w:line="240" w:lineRule="auto"/>
        <w:rPr>
          <w:rFonts w:asciiTheme="minorBidi" w:hAnsiTheme="minorBidi" w:cstheme="minorBidi"/>
          <w:color w:val="auto"/>
          <w:sz w:val="20"/>
          <w:szCs w:val="20"/>
        </w:rPr>
      </w:pPr>
      <w:r w:rsidRPr="00D635DE">
        <w:rPr>
          <w:rFonts w:asciiTheme="minorBidi" w:hAnsiTheme="minorBidi" w:cstheme="minorBidi"/>
          <w:color w:val="auto"/>
          <w:sz w:val="20"/>
          <w:szCs w:val="20"/>
        </w:rPr>
        <w:t xml:space="preserve">CONCLUSION </w:t>
      </w:r>
    </w:p>
    <w:p w:rsidR="00897805" w:rsidRPr="00D2601A" w:rsidRDefault="000613A1"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Attempt</w:t>
      </w:r>
      <w:r w:rsidR="00A63FBB" w:rsidRPr="00D2601A">
        <w:rPr>
          <w:rFonts w:ascii="Times New Roman" w:hAnsi="Times New Roman" w:cs="Times New Roman"/>
          <w:sz w:val="20"/>
          <w:szCs w:val="20"/>
        </w:rPr>
        <w:t xml:space="preserve"> has been </w:t>
      </w:r>
      <w:r w:rsidRPr="00D2601A">
        <w:rPr>
          <w:rFonts w:ascii="Times New Roman" w:hAnsi="Times New Roman" w:cs="Times New Roman"/>
          <w:sz w:val="20"/>
          <w:szCs w:val="20"/>
        </w:rPr>
        <w:t>made</w:t>
      </w:r>
      <w:r w:rsidR="00A63FBB" w:rsidRPr="00D2601A">
        <w:rPr>
          <w:rFonts w:ascii="Times New Roman" w:hAnsi="Times New Roman" w:cs="Times New Roman"/>
          <w:sz w:val="20"/>
          <w:szCs w:val="20"/>
        </w:rPr>
        <w:t xml:space="preserve"> to </w:t>
      </w:r>
      <w:r w:rsidR="00D91BF0" w:rsidRPr="00D2601A">
        <w:rPr>
          <w:rFonts w:ascii="Times New Roman" w:hAnsi="Times New Roman" w:cs="Times New Roman"/>
          <w:sz w:val="20"/>
          <w:szCs w:val="20"/>
        </w:rPr>
        <w:t xml:space="preserve">improve </w:t>
      </w:r>
      <w:r w:rsidR="00A63FBB" w:rsidRPr="00D2601A">
        <w:rPr>
          <w:rFonts w:ascii="Times New Roman" w:hAnsi="Times New Roman" w:cs="Times New Roman"/>
          <w:sz w:val="20"/>
          <w:szCs w:val="20"/>
        </w:rPr>
        <w:t xml:space="preserve">properties such as electrical, physical and chemical of transformer </w:t>
      </w:r>
      <w:r w:rsidR="00C212D0" w:rsidRPr="00D2601A">
        <w:rPr>
          <w:rFonts w:ascii="Times New Roman" w:hAnsi="Times New Roman" w:cs="Times New Roman"/>
          <w:sz w:val="20"/>
          <w:szCs w:val="20"/>
        </w:rPr>
        <w:t>oil by</w:t>
      </w:r>
      <w:r w:rsidR="00A63FBB" w:rsidRPr="00D2601A">
        <w:rPr>
          <w:rFonts w:ascii="Times New Roman" w:hAnsi="Times New Roman" w:cs="Times New Roman"/>
          <w:sz w:val="20"/>
          <w:szCs w:val="20"/>
        </w:rPr>
        <w:t xml:space="preserve"> acid/clay</w:t>
      </w:r>
      <w:r w:rsidR="00D91BF0" w:rsidRPr="00D2601A">
        <w:rPr>
          <w:rFonts w:ascii="Times New Roman" w:hAnsi="Times New Roman" w:cs="Times New Roman"/>
          <w:sz w:val="20"/>
          <w:szCs w:val="20"/>
        </w:rPr>
        <w:t xml:space="preserve"> treatment</w:t>
      </w:r>
      <w:r w:rsidR="00A63FBB" w:rsidRPr="00D2601A">
        <w:rPr>
          <w:rFonts w:ascii="Times New Roman" w:hAnsi="Times New Roman" w:cs="Times New Roman"/>
          <w:sz w:val="20"/>
          <w:szCs w:val="20"/>
        </w:rPr>
        <w:t>.</w:t>
      </w:r>
      <w:r w:rsidR="00D91BF0" w:rsidRPr="00D2601A">
        <w:rPr>
          <w:rFonts w:ascii="Times New Roman" w:hAnsi="Times New Roman" w:cs="Times New Roman"/>
          <w:sz w:val="20"/>
          <w:szCs w:val="20"/>
        </w:rPr>
        <w:t xml:space="preserve"> </w:t>
      </w:r>
      <w:r w:rsidR="00EB1010" w:rsidRPr="00D2601A">
        <w:rPr>
          <w:rFonts w:ascii="Times New Roman" w:hAnsi="Times New Roman" w:cs="Times New Roman"/>
          <w:sz w:val="20"/>
          <w:szCs w:val="20"/>
        </w:rPr>
        <w:t xml:space="preserve">Various </w:t>
      </w:r>
      <w:r w:rsidR="00C212D0" w:rsidRPr="00D2601A">
        <w:rPr>
          <w:rFonts w:ascii="Times New Roman" w:hAnsi="Times New Roman" w:cs="Times New Roman"/>
          <w:sz w:val="20"/>
          <w:szCs w:val="20"/>
        </w:rPr>
        <w:t>ratios</w:t>
      </w:r>
      <w:r w:rsidR="00EB1010" w:rsidRPr="00D2601A">
        <w:rPr>
          <w:rFonts w:ascii="Times New Roman" w:hAnsi="Times New Roman" w:cs="Times New Roman"/>
          <w:sz w:val="20"/>
          <w:szCs w:val="20"/>
        </w:rPr>
        <w:t xml:space="preserve"> of sulphuric acid and clay were test</w:t>
      </w:r>
      <w:r w:rsidRPr="00D2601A">
        <w:rPr>
          <w:rFonts w:ascii="Times New Roman" w:hAnsi="Times New Roman" w:cs="Times New Roman"/>
          <w:sz w:val="20"/>
          <w:szCs w:val="20"/>
        </w:rPr>
        <w:t>ed</w:t>
      </w:r>
      <w:r w:rsidR="00EB1010" w:rsidRPr="00D2601A">
        <w:rPr>
          <w:rFonts w:ascii="Times New Roman" w:hAnsi="Times New Roman" w:cs="Times New Roman"/>
          <w:sz w:val="20"/>
          <w:szCs w:val="20"/>
        </w:rPr>
        <w:t xml:space="preserve"> for treatment optimization and best results were obtained using 0.5 % sulfuric </w:t>
      </w:r>
      <w:r w:rsidR="00C212D0" w:rsidRPr="00D2601A">
        <w:rPr>
          <w:rFonts w:ascii="Times New Roman" w:hAnsi="Times New Roman" w:cs="Times New Roman"/>
          <w:sz w:val="20"/>
          <w:szCs w:val="20"/>
        </w:rPr>
        <w:t>acid and</w:t>
      </w:r>
      <w:r w:rsidR="00EB1010" w:rsidRPr="00D2601A">
        <w:rPr>
          <w:rFonts w:ascii="Times New Roman" w:hAnsi="Times New Roman" w:cs="Times New Roman"/>
          <w:sz w:val="20"/>
          <w:szCs w:val="20"/>
        </w:rPr>
        <w:t xml:space="preserve"> 2.0% clay. </w:t>
      </w:r>
      <w:r w:rsidR="005E3EEC" w:rsidRPr="00D2601A">
        <w:rPr>
          <w:rFonts w:ascii="Times New Roman" w:hAnsi="Times New Roman" w:cs="Times New Roman"/>
          <w:sz w:val="20"/>
          <w:szCs w:val="20"/>
        </w:rPr>
        <w:t>Further</w:t>
      </w:r>
      <w:r w:rsidRPr="00D2601A">
        <w:rPr>
          <w:rFonts w:ascii="Times New Roman" w:hAnsi="Times New Roman" w:cs="Times New Roman"/>
          <w:sz w:val="20"/>
          <w:szCs w:val="20"/>
        </w:rPr>
        <w:t>,</w:t>
      </w:r>
      <w:r w:rsidR="005E3EEC" w:rsidRPr="00D2601A">
        <w:rPr>
          <w:rFonts w:ascii="Times New Roman" w:hAnsi="Times New Roman" w:cs="Times New Roman"/>
          <w:sz w:val="20"/>
          <w:szCs w:val="20"/>
        </w:rPr>
        <w:t xml:space="preserve"> increase in dosage had only a little effect on performance. At optimized acid/clay dosage moisture content reduced from 108.5 ppm to 27.3 ppm, Dielectric dissipation factor decreased from 0.014 to 0.0024 while TAN reduced from 0.0753 to 0.0085 mg KOH/g.</w:t>
      </w:r>
      <w:r w:rsidR="00A63FBB" w:rsidRPr="00D2601A">
        <w:rPr>
          <w:rFonts w:ascii="Times New Roman" w:hAnsi="Times New Roman" w:cs="Times New Roman"/>
          <w:sz w:val="20"/>
          <w:szCs w:val="20"/>
        </w:rPr>
        <w:t xml:space="preserve"> </w:t>
      </w:r>
    </w:p>
    <w:p w:rsidR="00897805" w:rsidRDefault="00B42BC9" w:rsidP="00D2601A">
      <w:pPr>
        <w:spacing w:after="0" w:line="240" w:lineRule="auto"/>
        <w:jc w:val="both"/>
        <w:rPr>
          <w:rFonts w:ascii="Times New Roman" w:hAnsi="Times New Roman" w:cs="Times New Roman"/>
          <w:sz w:val="20"/>
          <w:szCs w:val="20"/>
        </w:rPr>
      </w:pPr>
      <w:r w:rsidRPr="00D2601A">
        <w:rPr>
          <w:rFonts w:ascii="Times New Roman" w:hAnsi="Times New Roman" w:cs="Times New Roman"/>
          <w:sz w:val="20"/>
          <w:szCs w:val="20"/>
        </w:rPr>
        <w:t xml:space="preserve">In the light of </w:t>
      </w:r>
      <w:r w:rsidR="00897805" w:rsidRPr="00D2601A">
        <w:rPr>
          <w:rFonts w:ascii="Times New Roman" w:hAnsi="Times New Roman" w:cs="Times New Roman"/>
          <w:sz w:val="20"/>
          <w:szCs w:val="20"/>
        </w:rPr>
        <w:t xml:space="preserve">above </w:t>
      </w:r>
      <w:r w:rsidRPr="00D2601A">
        <w:rPr>
          <w:rFonts w:ascii="Times New Roman" w:hAnsi="Times New Roman" w:cs="Times New Roman"/>
          <w:sz w:val="20"/>
          <w:szCs w:val="20"/>
        </w:rPr>
        <w:t xml:space="preserve">results </w:t>
      </w:r>
      <w:r w:rsidR="00897805" w:rsidRPr="00D2601A">
        <w:rPr>
          <w:rFonts w:ascii="Times New Roman" w:hAnsi="Times New Roman" w:cs="Times New Roman"/>
          <w:sz w:val="20"/>
          <w:szCs w:val="20"/>
        </w:rPr>
        <w:t>we can</w:t>
      </w:r>
      <w:r w:rsidRPr="00D2601A">
        <w:rPr>
          <w:rFonts w:ascii="Times New Roman" w:hAnsi="Times New Roman" w:cs="Times New Roman"/>
          <w:sz w:val="20"/>
          <w:szCs w:val="20"/>
        </w:rPr>
        <w:t xml:space="preserve"> conclude that the Group I base oil can be converted into the </w:t>
      </w:r>
      <w:r w:rsidR="005E3EEC" w:rsidRPr="00D2601A">
        <w:rPr>
          <w:rFonts w:ascii="Times New Roman" w:hAnsi="Times New Roman" w:cs="Times New Roman"/>
          <w:sz w:val="20"/>
          <w:szCs w:val="20"/>
        </w:rPr>
        <w:t>Group II base oil by acid/clay treatment</w:t>
      </w:r>
      <w:r w:rsidR="00897805" w:rsidRPr="00D2601A">
        <w:rPr>
          <w:rFonts w:ascii="Times New Roman" w:hAnsi="Times New Roman" w:cs="Times New Roman"/>
          <w:sz w:val="20"/>
          <w:szCs w:val="20"/>
        </w:rPr>
        <w:t>.</w:t>
      </w:r>
    </w:p>
    <w:p w:rsidR="00D635DE" w:rsidRPr="00D2601A" w:rsidRDefault="00D635DE" w:rsidP="00D2601A">
      <w:pPr>
        <w:spacing w:after="0" w:line="240" w:lineRule="auto"/>
        <w:jc w:val="both"/>
        <w:rPr>
          <w:rFonts w:ascii="Times New Roman" w:hAnsi="Times New Roman" w:cs="Times New Roman"/>
          <w:sz w:val="20"/>
          <w:szCs w:val="20"/>
        </w:rPr>
      </w:pPr>
    </w:p>
    <w:p w:rsidR="00405731" w:rsidRPr="00D2601A" w:rsidRDefault="00405731" w:rsidP="00D2601A">
      <w:pPr>
        <w:pStyle w:val="Heading1"/>
        <w:spacing w:before="0" w:line="240" w:lineRule="auto"/>
        <w:rPr>
          <w:rFonts w:ascii="Times New Roman" w:hAnsi="Times New Roman" w:cs="Times New Roman"/>
          <w:b/>
          <w:color w:val="auto"/>
          <w:sz w:val="20"/>
          <w:szCs w:val="20"/>
        </w:rPr>
      </w:pPr>
      <w:r w:rsidRPr="00D2601A">
        <w:rPr>
          <w:rFonts w:ascii="Times New Roman" w:hAnsi="Times New Roman" w:cs="Times New Roman"/>
          <w:b/>
          <w:color w:val="auto"/>
          <w:sz w:val="20"/>
          <w:szCs w:val="20"/>
        </w:rPr>
        <w:t xml:space="preserve">REFERENCES </w:t>
      </w:r>
    </w:p>
    <w:bookmarkStart w:id="1" w:name="_GoBack"/>
    <w:p w:rsidR="00405731" w:rsidRPr="00D2601A" w:rsidRDefault="00382076" w:rsidP="00D635DE">
      <w:pPr>
        <w:pStyle w:val="NormalWeb"/>
        <w:spacing w:before="0" w:beforeAutospacing="0" w:after="0" w:afterAutospacing="0"/>
        <w:ind w:left="432" w:hanging="432"/>
        <w:jc w:val="both"/>
        <w:rPr>
          <w:rFonts w:eastAsiaTheme="minorEastAsia"/>
          <w:noProof/>
          <w:sz w:val="20"/>
          <w:szCs w:val="20"/>
        </w:rPr>
      </w:pPr>
      <w:r w:rsidRPr="00D2601A">
        <w:rPr>
          <w:b/>
          <w:bCs/>
          <w:sz w:val="20"/>
          <w:szCs w:val="20"/>
        </w:rPr>
        <w:fldChar w:fldCharType="begin" w:fldLock="1"/>
      </w:r>
      <w:r w:rsidR="00405731" w:rsidRPr="00D2601A">
        <w:rPr>
          <w:b/>
          <w:bCs/>
          <w:sz w:val="20"/>
          <w:szCs w:val="20"/>
        </w:rPr>
        <w:instrText xml:space="preserve">ADDIN Mendeley Bibliography CSL_BIBLIOGRAPHY </w:instrText>
      </w:r>
      <w:r w:rsidRPr="00D2601A">
        <w:rPr>
          <w:b/>
          <w:bCs/>
          <w:sz w:val="20"/>
          <w:szCs w:val="20"/>
        </w:rPr>
        <w:fldChar w:fldCharType="separate"/>
      </w:r>
      <w:r w:rsidR="00405731" w:rsidRPr="00D2601A">
        <w:rPr>
          <w:noProof/>
          <w:sz w:val="20"/>
          <w:szCs w:val="20"/>
        </w:rPr>
        <w:t>[1]</w:t>
      </w:r>
      <w:r w:rsidR="00405731" w:rsidRPr="00D2601A">
        <w:rPr>
          <w:noProof/>
          <w:sz w:val="20"/>
          <w:szCs w:val="20"/>
        </w:rPr>
        <w:tab/>
      </w:r>
      <w:r w:rsidR="00F80291" w:rsidRPr="00D2601A">
        <w:rPr>
          <w:noProof/>
          <w:sz w:val="20"/>
          <w:szCs w:val="20"/>
        </w:rPr>
        <w:t>Goedde, G. L.</w:t>
      </w:r>
      <w:r w:rsidR="00791BDC" w:rsidRPr="00D2601A">
        <w:rPr>
          <w:noProof/>
          <w:sz w:val="20"/>
          <w:szCs w:val="20"/>
        </w:rPr>
        <w:t>,</w:t>
      </w:r>
      <w:r w:rsidR="00F80291" w:rsidRPr="00D2601A">
        <w:rPr>
          <w:noProof/>
          <w:sz w:val="20"/>
          <w:szCs w:val="20"/>
        </w:rPr>
        <w:t xml:space="preserve"> Gauger, G. A.</w:t>
      </w:r>
      <w:r w:rsidR="00791BDC" w:rsidRPr="00D2601A">
        <w:rPr>
          <w:noProof/>
          <w:sz w:val="20"/>
          <w:szCs w:val="20"/>
        </w:rPr>
        <w:t>,</w:t>
      </w:r>
      <w:r w:rsidR="00F80291" w:rsidRPr="00D2601A">
        <w:rPr>
          <w:noProof/>
          <w:sz w:val="20"/>
          <w:szCs w:val="20"/>
        </w:rPr>
        <w:t xml:space="preserve"> Lapp, J. and  Yerges, A. P. </w:t>
      </w:r>
      <w:r w:rsidR="00405731" w:rsidRPr="00D2601A">
        <w:rPr>
          <w:noProof/>
          <w:sz w:val="20"/>
          <w:szCs w:val="20"/>
        </w:rPr>
        <w:t xml:space="preserve"> “Dielectric fluid having defined chemical composition for use in electrical apparatus</w:t>
      </w:r>
      <w:r w:rsidR="000F0FF7" w:rsidRPr="00D2601A">
        <w:rPr>
          <w:noProof/>
          <w:sz w:val="20"/>
          <w:szCs w:val="20"/>
        </w:rPr>
        <w:t>,</w:t>
      </w:r>
      <w:r w:rsidR="00405731" w:rsidRPr="00D2601A">
        <w:rPr>
          <w:noProof/>
          <w:sz w:val="20"/>
          <w:szCs w:val="20"/>
        </w:rPr>
        <w:t xml:space="preserve">” Google Patents, </w:t>
      </w:r>
      <w:r w:rsidR="007E1EF1" w:rsidRPr="00D2601A">
        <w:rPr>
          <w:noProof/>
          <w:sz w:val="20"/>
          <w:szCs w:val="20"/>
        </w:rPr>
        <w:t>(</w:t>
      </w:r>
      <w:r w:rsidR="00405731" w:rsidRPr="00D2601A">
        <w:rPr>
          <w:noProof/>
          <w:sz w:val="20"/>
          <w:szCs w:val="20"/>
        </w:rPr>
        <w:t>1997</w:t>
      </w:r>
      <w:r w:rsidR="007E1EF1" w:rsidRPr="00D2601A">
        <w:rPr>
          <w:noProof/>
          <w:sz w:val="20"/>
          <w:szCs w:val="20"/>
        </w:rPr>
        <w:t>)</w:t>
      </w:r>
      <w:r w:rsidR="00405731" w:rsidRPr="00D2601A">
        <w:rPr>
          <w:noProof/>
          <w:sz w:val="20"/>
          <w:szCs w:val="20"/>
        </w:rPr>
        <w:t>.</w:t>
      </w:r>
    </w:p>
    <w:p w:rsidR="008D2FF3" w:rsidRPr="00D2601A" w:rsidRDefault="00510C43" w:rsidP="00D635DE">
      <w:pPr>
        <w:pStyle w:val="NormalWeb"/>
        <w:spacing w:before="0" w:beforeAutospacing="0" w:after="0" w:afterAutospacing="0"/>
        <w:ind w:left="432" w:hanging="432"/>
        <w:jc w:val="both"/>
        <w:rPr>
          <w:sz w:val="20"/>
          <w:szCs w:val="20"/>
        </w:rPr>
      </w:pPr>
      <w:r w:rsidRPr="00D2601A">
        <w:rPr>
          <w:noProof/>
          <w:sz w:val="20"/>
          <w:szCs w:val="20"/>
        </w:rPr>
        <w:t xml:space="preserve"> </w:t>
      </w:r>
      <w:r w:rsidR="00405731" w:rsidRPr="00D2601A">
        <w:rPr>
          <w:noProof/>
          <w:sz w:val="20"/>
          <w:szCs w:val="20"/>
        </w:rPr>
        <w:t>[</w:t>
      </w:r>
      <w:r w:rsidRPr="00D2601A">
        <w:rPr>
          <w:noProof/>
          <w:sz w:val="20"/>
          <w:szCs w:val="20"/>
        </w:rPr>
        <w:t>2</w:t>
      </w:r>
      <w:r w:rsidR="00405731" w:rsidRPr="00D2601A">
        <w:rPr>
          <w:noProof/>
          <w:sz w:val="20"/>
          <w:szCs w:val="20"/>
        </w:rPr>
        <w:t>]</w:t>
      </w:r>
      <w:r w:rsidR="00405731" w:rsidRPr="00D2601A">
        <w:rPr>
          <w:noProof/>
          <w:sz w:val="20"/>
          <w:szCs w:val="20"/>
        </w:rPr>
        <w:tab/>
      </w:r>
      <w:r w:rsidR="009D2B3C" w:rsidRPr="00D2601A">
        <w:rPr>
          <w:sz w:val="20"/>
          <w:szCs w:val="20"/>
        </w:rPr>
        <w:t>Rouse, T. O.</w:t>
      </w:r>
      <w:r w:rsidR="000F0FF7" w:rsidRPr="00D2601A">
        <w:rPr>
          <w:sz w:val="20"/>
          <w:szCs w:val="20"/>
        </w:rPr>
        <w:t>,</w:t>
      </w:r>
      <w:r w:rsidR="009D2B3C" w:rsidRPr="00D2601A">
        <w:rPr>
          <w:sz w:val="20"/>
          <w:szCs w:val="20"/>
        </w:rPr>
        <w:t xml:space="preserve"> </w:t>
      </w:r>
      <w:r w:rsidR="007E1EF1" w:rsidRPr="00D2601A">
        <w:rPr>
          <w:sz w:val="20"/>
          <w:szCs w:val="20"/>
        </w:rPr>
        <w:t>"</w:t>
      </w:r>
      <w:r w:rsidR="009D2B3C" w:rsidRPr="00D2601A">
        <w:rPr>
          <w:sz w:val="20"/>
          <w:szCs w:val="20"/>
        </w:rPr>
        <w:t>Mineral insulating oil in transformers</w:t>
      </w:r>
      <w:r w:rsidR="007E1EF1" w:rsidRPr="00D2601A">
        <w:rPr>
          <w:sz w:val="20"/>
          <w:szCs w:val="20"/>
        </w:rPr>
        <w:t>,"</w:t>
      </w:r>
      <w:r w:rsidR="00791BDC" w:rsidRPr="00D2601A">
        <w:rPr>
          <w:sz w:val="20"/>
          <w:szCs w:val="20"/>
        </w:rPr>
        <w:t xml:space="preserve"> </w:t>
      </w:r>
      <w:r w:rsidR="009D2B3C" w:rsidRPr="00D2601A">
        <w:rPr>
          <w:i/>
          <w:iCs/>
          <w:sz w:val="20"/>
          <w:szCs w:val="20"/>
        </w:rPr>
        <w:t>Electrical Insulation Magazine, IEEE</w:t>
      </w:r>
      <w:r w:rsidR="009D2B3C" w:rsidRPr="00D2601A">
        <w:rPr>
          <w:sz w:val="20"/>
          <w:szCs w:val="20"/>
        </w:rPr>
        <w:t xml:space="preserve">, </w:t>
      </w:r>
      <w:r w:rsidR="009D2B3C" w:rsidRPr="00D2601A">
        <w:rPr>
          <w:b/>
          <w:i/>
          <w:iCs/>
          <w:sz w:val="20"/>
          <w:szCs w:val="20"/>
        </w:rPr>
        <w:t>14</w:t>
      </w:r>
      <w:r w:rsidR="009D2B3C" w:rsidRPr="00D2601A">
        <w:rPr>
          <w:b/>
          <w:sz w:val="20"/>
          <w:szCs w:val="20"/>
        </w:rPr>
        <w:t>(3)</w:t>
      </w:r>
      <w:r w:rsidR="000F0FF7" w:rsidRPr="00D2601A">
        <w:rPr>
          <w:b/>
          <w:sz w:val="20"/>
          <w:szCs w:val="20"/>
        </w:rPr>
        <w:t>:</w:t>
      </w:r>
      <w:r w:rsidR="00F80291" w:rsidRPr="00D2601A">
        <w:rPr>
          <w:sz w:val="20"/>
          <w:szCs w:val="20"/>
        </w:rPr>
        <w:t>6-16</w:t>
      </w:r>
      <w:r w:rsidR="007E1EF1" w:rsidRPr="00D2601A">
        <w:rPr>
          <w:sz w:val="20"/>
          <w:szCs w:val="20"/>
        </w:rPr>
        <w:t>(1998)</w:t>
      </w:r>
    </w:p>
    <w:p w:rsidR="00243C86" w:rsidRPr="00D2601A" w:rsidRDefault="00510C43" w:rsidP="00D635DE">
      <w:pPr>
        <w:pStyle w:val="NormalWeb"/>
        <w:spacing w:before="0" w:beforeAutospacing="0" w:after="0" w:afterAutospacing="0"/>
        <w:ind w:left="432" w:hanging="432"/>
        <w:jc w:val="both"/>
        <w:rPr>
          <w:sz w:val="20"/>
          <w:szCs w:val="20"/>
        </w:rPr>
      </w:pPr>
      <w:r w:rsidRPr="00D2601A">
        <w:rPr>
          <w:noProof/>
          <w:sz w:val="20"/>
          <w:szCs w:val="20"/>
        </w:rPr>
        <w:t>[3</w:t>
      </w:r>
      <w:r w:rsidR="00405731" w:rsidRPr="00D2601A">
        <w:rPr>
          <w:noProof/>
          <w:sz w:val="20"/>
          <w:szCs w:val="20"/>
        </w:rPr>
        <w:t>]</w:t>
      </w:r>
      <w:r w:rsidR="00405731" w:rsidRPr="00D2601A">
        <w:rPr>
          <w:noProof/>
          <w:sz w:val="20"/>
          <w:szCs w:val="20"/>
        </w:rPr>
        <w:tab/>
      </w:r>
      <w:r w:rsidR="00F2091C" w:rsidRPr="00D2601A">
        <w:rPr>
          <w:sz w:val="20"/>
          <w:szCs w:val="20"/>
        </w:rPr>
        <w:t>Pedišić</w:t>
      </w:r>
      <w:r w:rsidR="00E51B84" w:rsidRPr="00D2601A">
        <w:rPr>
          <w:sz w:val="20"/>
          <w:szCs w:val="20"/>
        </w:rPr>
        <w:t>,</w:t>
      </w:r>
      <w:r w:rsidR="00F2091C" w:rsidRPr="00D2601A">
        <w:rPr>
          <w:sz w:val="20"/>
          <w:szCs w:val="20"/>
        </w:rPr>
        <w:t xml:space="preserve"> L</w:t>
      </w:r>
      <w:r w:rsidR="00E51B84" w:rsidRPr="00D2601A">
        <w:rPr>
          <w:sz w:val="20"/>
          <w:szCs w:val="20"/>
        </w:rPr>
        <w:t>.</w:t>
      </w:r>
      <w:r w:rsidR="00F2091C" w:rsidRPr="00D2601A">
        <w:rPr>
          <w:sz w:val="20"/>
          <w:szCs w:val="20"/>
        </w:rPr>
        <w:t>, Petran</w:t>
      </w:r>
      <w:r w:rsidR="00E51B84" w:rsidRPr="00D2601A">
        <w:rPr>
          <w:sz w:val="20"/>
          <w:szCs w:val="20"/>
        </w:rPr>
        <w:t>,</w:t>
      </w:r>
      <w:r w:rsidR="00F2091C" w:rsidRPr="00D2601A">
        <w:rPr>
          <w:sz w:val="20"/>
          <w:szCs w:val="20"/>
        </w:rPr>
        <w:t xml:space="preserve"> J</w:t>
      </w:r>
      <w:r w:rsidR="00E51B84" w:rsidRPr="00D2601A">
        <w:rPr>
          <w:sz w:val="20"/>
          <w:szCs w:val="20"/>
        </w:rPr>
        <w:t>.</w:t>
      </w:r>
      <w:r w:rsidR="00F2091C" w:rsidRPr="00D2601A">
        <w:rPr>
          <w:sz w:val="20"/>
          <w:szCs w:val="20"/>
        </w:rPr>
        <w:t>, Munić</w:t>
      </w:r>
      <w:r w:rsidR="00E51B84" w:rsidRPr="00D2601A">
        <w:rPr>
          <w:sz w:val="20"/>
          <w:szCs w:val="20"/>
        </w:rPr>
        <w:t>,</w:t>
      </w:r>
      <w:r w:rsidR="00F2091C" w:rsidRPr="00D2601A">
        <w:rPr>
          <w:sz w:val="20"/>
          <w:szCs w:val="20"/>
        </w:rPr>
        <w:t xml:space="preserve"> J</w:t>
      </w:r>
      <w:r w:rsidR="00E51B84" w:rsidRPr="00D2601A">
        <w:rPr>
          <w:sz w:val="20"/>
          <w:szCs w:val="20"/>
        </w:rPr>
        <w:t>.</w:t>
      </w:r>
      <w:r w:rsidR="00F80291" w:rsidRPr="00D2601A">
        <w:rPr>
          <w:sz w:val="20"/>
          <w:szCs w:val="20"/>
        </w:rPr>
        <w:t xml:space="preserve"> and</w:t>
      </w:r>
      <w:r w:rsidR="00F2091C" w:rsidRPr="00D2601A">
        <w:rPr>
          <w:sz w:val="20"/>
          <w:szCs w:val="20"/>
        </w:rPr>
        <w:t xml:space="preserve"> Polenus</w:t>
      </w:r>
      <w:r w:rsidR="008D2FF3" w:rsidRPr="00D2601A">
        <w:rPr>
          <w:sz w:val="20"/>
          <w:szCs w:val="20"/>
        </w:rPr>
        <w:t>, I.</w:t>
      </w:r>
      <w:r w:rsidR="00243C86" w:rsidRPr="00D2601A">
        <w:rPr>
          <w:sz w:val="20"/>
          <w:szCs w:val="20"/>
        </w:rPr>
        <w:t xml:space="preserve"> </w:t>
      </w:r>
      <w:r w:rsidR="007E1EF1" w:rsidRPr="00D2601A">
        <w:rPr>
          <w:sz w:val="20"/>
          <w:szCs w:val="20"/>
        </w:rPr>
        <w:t>"</w:t>
      </w:r>
      <w:r w:rsidR="009747F5" w:rsidRPr="00D2601A">
        <w:rPr>
          <w:sz w:val="20"/>
          <w:szCs w:val="20"/>
        </w:rPr>
        <w:t>Possibility of Biodegradable Base Oils Application in Neat Metal</w:t>
      </w:r>
      <w:r w:rsidR="00F2091C" w:rsidRPr="00D2601A">
        <w:rPr>
          <w:sz w:val="20"/>
          <w:szCs w:val="20"/>
        </w:rPr>
        <w:t xml:space="preserve"> </w:t>
      </w:r>
      <w:r w:rsidR="009747F5" w:rsidRPr="00D2601A">
        <w:rPr>
          <w:sz w:val="20"/>
          <w:szCs w:val="20"/>
        </w:rPr>
        <w:t>working Oils</w:t>
      </w:r>
      <w:r w:rsidR="000F0FF7" w:rsidRPr="00D2601A">
        <w:rPr>
          <w:sz w:val="20"/>
          <w:szCs w:val="20"/>
        </w:rPr>
        <w:t>,</w:t>
      </w:r>
      <w:r w:rsidR="007E1EF1" w:rsidRPr="00D2601A">
        <w:rPr>
          <w:sz w:val="20"/>
          <w:szCs w:val="20"/>
        </w:rPr>
        <w:t>"</w:t>
      </w:r>
      <w:r w:rsidR="00F80291" w:rsidRPr="00D2601A">
        <w:rPr>
          <w:sz w:val="20"/>
          <w:szCs w:val="20"/>
        </w:rPr>
        <w:t xml:space="preserve"> </w:t>
      </w:r>
      <w:r w:rsidR="00F80291" w:rsidRPr="00D2601A">
        <w:rPr>
          <w:b/>
          <w:sz w:val="20"/>
          <w:szCs w:val="20"/>
        </w:rPr>
        <w:t>48(3)</w:t>
      </w:r>
      <w:r w:rsidR="00F80291" w:rsidRPr="00D2601A">
        <w:rPr>
          <w:sz w:val="20"/>
          <w:szCs w:val="20"/>
        </w:rPr>
        <w:t>, 193-228 (2009)</w:t>
      </w:r>
      <w:r w:rsidR="00243C86" w:rsidRPr="00D2601A">
        <w:rPr>
          <w:sz w:val="20"/>
          <w:szCs w:val="20"/>
        </w:rPr>
        <w:t>.</w:t>
      </w:r>
    </w:p>
    <w:p w:rsidR="009D2B3C" w:rsidRPr="00D2601A" w:rsidRDefault="00510C43" w:rsidP="00D635DE">
      <w:pPr>
        <w:pStyle w:val="NormalWeb"/>
        <w:spacing w:before="0" w:beforeAutospacing="0" w:after="0" w:afterAutospacing="0"/>
        <w:ind w:left="432" w:hanging="432"/>
        <w:jc w:val="both"/>
        <w:rPr>
          <w:sz w:val="20"/>
          <w:szCs w:val="20"/>
        </w:rPr>
      </w:pPr>
      <w:r w:rsidRPr="00D2601A">
        <w:rPr>
          <w:sz w:val="20"/>
          <w:szCs w:val="20"/>
        </w:rPr>
        <w:t>[4</w:t>
      </w:r>
      <w:r w:rsidR="009D2B3C" w:rsidRPr="00D2601A">
        <w:rPr>
          <w:sz w:val="20"/>
          <w:szCs w:val="20"/>
        </w:rPr>
        <w:t>]  Udonne, J. D.</w:t>
      </w:r>
      <w:r w:rsidR="000F0FF7" w:rsidRPr="00D2601A">
        <w:rPr>
          <w:sz w:val="20"/>
          <w:szCs w:val="20"/>
        </w:rPr>
        <w:t>,</w:t>
      </w:r>
      <w:r w:rsidR="009D2B3C" w:rsidRPr="00D2601A">
        <w:rPr>
          <w:sz w:val="20"/>
          <w:szCs w:val="20"/>
        </w:rPr>
        <w:t xml:space="preserve"> </w:t>
      </w:r>
      <w:r w:rsidR="009747F5" w:rsidRPr="00D2601A">
        <w:rPr>
          <w:sz w:val="20"/>
          <w:szCs w:val="20"/>
        </w:rPr>
        <w:t>"</w:t>
      </w:r>
      <w:r w:rsidR="009D2B3C" w:rsidRPr="00D2601A">
        <w:rPr>
          <w:sz w:val="20"/>
          <w:szCs w:val="20"/>
        </w:rPr>
        <w:t>A comparative study of recycling of used lubrication Oils using distillation , acid and activated charcoal with clay methods</w:t>
      </w:r>
      <w:r w:rsidR="000F0FF7" w:rsidRPr="00D2601A">
        <w:rPr>
          <w:sz w:val="20"/>
          <w:szCs w:val="20"/>
        </w:rPr>
        <w:t>,</w:t>
      </w:r>
      <w:r w:rsidR="009747F5" w:rsidRPr="00D2601A">
        <w:rPr>
          <w:sz w:val="20"/>
          <w:szCs w:val="20"/>
        </w:rPr>
        <w:t>"</w:t>
      </w:r>
      <w:r w:rsidR="009D2B3C" w:rsidRPr="00D2601A">
        <w:rPr>
          <w:sz w:val="20"/>
          <w:szCs w:val="20"/>
        </w:rPr>
        <w:t xml:space="preserve"> </w:t>
      </w:r>
      <w:r w:rsidR="009D2B3C" w:rsidRPr="00D2601A">
        <w:rPr>
          <w:i/>
          <w:iCs/>
          <w:sz w:val="20"/>
          <w:szCs w:val="20"/>
        </w:rPr>
        <w:t>Journal of Petroleum and Gas Engineering</w:t>
      </w:r>
      <w:r w:rsidR="009D2B3C" w:rsidRPr="00D2601A">
        <w:rPr>
          <w:sz w:val="20"/>
          <w:szCs w:val="20"/>
        </w:rPr>
        <w:t xml:space="preserve">, </w:t>
      </w:r>
      <w:r w:rsidR="009D2B3C" w:rsidRPr="00D2601A">
        <w:rPr>
          <w:b/>
          <w:i/>
          <w:iCs/>
          <w:sz w:val="20"/>
          <w:szCs w:val="20"/>
        </w:rPr>
        <w:t>2</w:t>
      </w:r>
      <w:r w:rsidR="009D2B3C" w:rsidRPr="00D2601A">
        <w:rPr>
          <w:b/>
          <w:sz w:val="20"/>
          <w:szCs w:val="20"/>
        </w:rPr>
        <w:t>(2)</w:t>
      </w:r>
      <w:r w:rsidR="000F0FF7" w:rsidRPr="00D2601A">
        <w:rPr>
          <w:sz w:val="20"/>
          <w:szCs w:val="20"/>
        </w:rPr>
        <w:t>:</w:t>
      </w:r>
      <w:r w:rsidR="009D2B3C" w:rsidRPr="00D2601A">
        <w:rPr>
          <w:sz w:val="20"/>
          <w:szCs w:val="20"/>
        </w:rPr>
        <w:t xml:space="preserve"> 12–19</w:t>
      </w:r>
      <w:r w:rsidR="009747F5" w:rsidRPr="00D2601A">
        <w:rPr>
          <w:sz w:val="20"/>
          <w:szCs w:val="20"/>
        </w:rPr>
        <w:t>(2011).</w:t>
      </w:r>
    </w:p>
    <w:p w:rsidR="009D2B3C" w:rsidRPr="00D2601A" w:rsidRDefault="00510C43" w:rsidP="00D635DE">
      <w:pPr>
        <w:pStyle w:val="NormalWeb"/>
        <w:spacing w:before="0" w:beforeAutospacing="0" w:after="0" w:afterAutospacing="0"/>
        <w:ind w:left="432" w:hanging="432"/>
        <w:jc w:val="both"/>
        <w:rPr>
          <w:sz w:val="20"/>
          <w:szCs w:val="20"/>
        </w:rPr>
      </w:pPr>
      <w:r w:rsidRPr="00D2601A">
        <w:rPr>
          <w:sz w:val="20"/>
          <w:szCs w:val="20"/>
        </w:rPr>
        <w:t>[5</w:t>
      </w:r>
      <w:r w:rsidR="0026320E" w:rsidRPr="00D2601A">
        <w:rPr>
          <w:sz w:val="20"/>
          <w:szCs w:val="20"/>
        </w:rPr>
        <w:t xml:space="preserve">] </w:t>
      </w:r>
      <w:r w:rsidR="00695D8B" w:rsidRPr="00D2601A">
        <w:rPr>
          <w:sz w:val="20"/>
          <w:szCs w:val="20"/>
        </w:rPr>
        <w:tab/>
      </w:r>
      <w:r w:rsidR="009D2B3C" w:rsidRPr="00D2601A">
        <w:rPr>
          <w:sz w:val="20"/>
          <w:szCs w:val="20"/>
        </w:rPr>
        <w:t xml:space="preserve">Usman, M. </w:t>
      </w:r>
      <w:r w:rsidR="008D2FF3" w:rsidRPr="00D2601A">
        <w:rPr>
          <w:sz w:val="20"/>
          <w:szCs w:val="20"/>
        </w:rPr>
        <w:t xml:space="preserve">A., Oribayo, O., </w:t>
      </w:r>
      <w:r w:rsidR="00F80291" w:rsidRPr="00D2601A">
        <w:rPr>
          <w:sz w:val="20"/>
          <w:szCs w:val="20"/>
        </w:rPr>
        <w:t>and</w:t>
      </w:r>
      <w:r w:rsidR="008D2FF3" w:rsidRPr="00D2601A">
        <w:rPr>
          <w:sz w:val="20"/>
          <w:szCs w:val="20"/>
        </w:rPr>
        <w:t xml:space="preserve"> Adebayo, A. </w:t>
      </w:r>
      <w:r w:rsidR="009D2B3C" w:rsidRPr="00D2601A">
        <w:rPr>
          <w:sz w:val="20"/>
          <w:szCs w:val="20"/>
        </w:rPr>
        <w:t xml:space="preserve"> </w:t>
      </w:r>
      <w:r w:rsidR="009747F5" w:rsidRPr="00D2601A">
        <w:rPr>
          <w:sz w:val="20"/>
          <w:szCs w:val="20"/>
        </w:rPr>
        <w:t>"</w:t>
      </w:r>
      <w:r w:rsidR="009D2B3C" w:rsidRPr="00D2601A">
        <w:rPr>
          <w:sz w:val="20"/>
          <w:szCs w:val="20"/>
        </w:rPr>
        <w:t xml:space="preserve">Bleaching of Palm </w:t>
      </w:r>
      <w:r w:rsidR="007659A2" w:rsidRPr="00D2601A">
        <w:rPr>
          <w:sz w:val="20"/>
          <w:szCs w:val="20"/>
        </w:rPr>
        <w:t>oil</w:t>
      </w:r>
      <w:r w:rsidR="009D2B3C" w:rsidRPr="00D2601A">
        <w:rPr>
          <w:sz w:val="20"/>
          <w:szCs w:val="20"/>
        </w:rPr>
        <w:t xml:space="preserve"> by Activated Local Ben</w:t>
      </w:r>
      <w:r w:rsidR="006E235A" w:rsidRPr="00D2601A">
        <w:rPr>
          <w:sz w:val="20"/>
          <w:szCs w:val="20"/>
        </w:rPr>
        <w:softHyphen/>
      </w:r>
      <w:r w:rsidR="009D2B3C" w:rsidRPr="00D2601A">
        <w:rPr>
          <w:sz w:val="20"/>
          <w:szCs w:val="20"/>
        </w:rPr>
        <w:t>tonite and Kaolin Clay from Afashio , Edo-Nigeria,</w:t>
      </w:r>
      <w:r w:rsidR="009747F5" w:rsidRPr="00D2601A">
        <w:rPr>
          <w:sz w:val="20"/>
          <w:szCs w:val="20"/>
        </w:rPr>
        <w:t>"</w:t>
      </w:r>
      <w:r w:rsidR="00F80291" w:rsidRPr="00D2601A">
        <w:rPr>
          <w:sz w:val="20"/>
          <w:szCs w:val="20"/>
        </w:rPr>
        <w:t>:</w:t>
      </w:r>
      <w:r w:rsidR="009D2B3C" w:rsidRPr="00D2601A">
        <w:rPr>
          <w:b/>
          <w:iCs/>
          <w:sz w:val="20"/>
          <w:szCs w:val="20"/>
        </w:rPr>
        <w:t>10</w:t>
      </w:r>
      <w:r w:rsidR="000F0FF7" w:rsidRPr="00D2601A">
        <w:rPr>
          <w:sz w:val="20"/>
          <w:szCs w:val="20"/>
        </w:rPr>
        <w:t>:</w:t>
      </w:r>
      <w:r w:rsidR="008D2FF3" w:rsidRPr="00D2601A">
        <w:rPr>
          <w:sz w:val="20"/>
          <w:szCs w:val="20"/>
        </w:rPr>
        <w:t>1-2</w:t>
      </w:r>
      <w:r w:rsidR="009D2B3C" w:rsidRPr="00D2601A">
        <w:rPr>
          <w:sz w:val="20"/>
          <w:szCs w:val="20"/>
        </w:rPr>
        <w:t>(2008).</w:t>
      </w:r>
    </w:p>
    <w:p w:rsidR="008D2FF3" w:rsidRPr="00D2601A" w:rsidRDefault="00510C43" w:rsidP="00D635DE">
      <w:pPr>
        <w:pStyle w:val="NormalWeb"/>
        <w:spacing w:before="0" w:beforeAutospacing="0" w:after="0" w:afterAutospacing="0"/>
        <w:ind w:left="432" w:hanging="432"/>
        <w:jc w:val="both"/>
        <w:rPr>
          <w:sz w:val="20"/>
          <w:szCs w:val="20"/>
        </w:rPr>
      </w:pPr>
      <w:r w:rsidRPr="00D2601A">
        <w:rPr>
          <w:sz w:val="20"/>
          <w:szCs w:val="20"/>
        </w:rPr>
        <w:t xml:space="preserve"> [6</w:t>
      </w:r>
      <w:r w:rsidR="0026320E" w:rsidRPr="00D2601A">
        <w:rPr>
          <w:sz w:val="20"/>
          <w:szCs w:val="20"/>
        </w:rPr>
        <w:t>]</w:t>
      </w:r>
      <w:r w:rsidR="00695D8B" w:rsidRPr="00D2601A">
        <w:rPr>
          <w:sz w:val="20"/>
          <w:szCs w:val="20"/>
        </w:rPr>
        <w:tab/>
      </w:r>
      <w:r w:rsidR="00243C86" w:rsidRPr="00D2601A">
        <w:rPr>
          <w:sz w:val="20"/>
          <w:szCs w:val="20"/>
        </w:rPr>
        <w:t xml:space="preserve">Makhoukhi, B., Didi, M. A., Villemin, D., </w:t>
      </w:r>
      <w:r w:rsidR="00F80291" w:rsidRPr="00D2601A">
        <w:rPr>
          <w:sz w:val="20"/>
          <w:szCs w:val="20"/>
        </w:rPr>
        <w:t xml:space="preserve">and </w:t>
      </w:r>
      <w:r w:rsidR="00243C86" w:rsidRPr="00D2601A">
        <w:rPr>
          <w:sz w:val="20"/>
          <w:szCs w:val="20"/>
        </w:rPr>
        <w:t xml:space="preserve">Azzouz, A. </w:t>
      </w:r>
      <w:r w:rsidR="009747F5" w:rsidRPr="00D2601A">
        <w:rPr>
          <w:sz w:val="20"/>
          <w:szCs w:val="20"/>
        </w:rPr>
        <w:t>"</w:t>
      </w:r>
      <w:r w:rsidR="00243C86" w:rsidRPr="00D2601A">
        <w:rPr>
          <w:sz w:val="20"/>
          <w:szCs w:val="20"/>
        </w:rPr>
        <w:t>Acid activation of Bentonite for use as a vegetable oil bleaching agent</w:t>
      </w:r>
      <w:r w:rsidR="009747F5" w:rsidRPr="00D2601A">
        <w:rPr>
          <w:sz w:val="20"/>
          <w:szCs w:val="20"/>
        </w:rPr>
        <w:t>"</w:t>
      </w:r>
      <w:r w:rsidR="00243C86" w:rsidRPr="00D2601A">
        <w:rPr>
          <w:sz w:val="20"/>
          <w:szCs w:val="20"/>
        </w:rPr>
        <w:t xml:space="preserve"> </w:t>
      </w:r>
      <w:r w:rsidR="00243C86" w:rsidRPr="00D2601A">
        <w:rPr>
          <w:i/>
          <w:iCs/>
          <w:sz w:val="20"/>
          <w:szCs w:val="20"/>
        </w:rPr>
        <w:t>Grasas Y Aceites</w:t>
      </w:r>
      <w:r w:rsidR="00243C86" w:rsidRPr="00D2601A">
        <w:rPr>
          <w:sz w:val="20"/>
          <w:szCs w:val="20"/>
        </w:rPr>
        <w:t xml:space="preserve">, </w:t>
      </w:r>
      <w:r w:rsidR="00243C86" w:rsidRPr="00D2601A">
        <w:rPr>
          <w:b/>
          <w:iCs/>
          <w:sz w:val="20"/>
          <w:szCs w:val="20"/>
        </w:rPr>
        <w:t>60</w:t>
      </w:r>
      <w:r w:rsidR="00243C86" w:rsidRPr="00D2601A">
        <w:rPr>
          <w:b/>
          <w:sz w:val="20"/>
          <w:szCs w:val="20"/>
        </w:rPr>
        <w:t>(4)</w:t>
      </w:r>
      <w:r w:rsidR="000F0FF7" w:rsidRPr="00D2601A">
        <w:rPr>
          <w:sz w:val="20"/>
          <w:szCs w:val="20"/>
        </w:rPr>
        <w:t>:</w:t>
      </w:r>
      <w:r w:rsidR="00243C86" w:rsidRPr="00D2601A">
        <w:rPr>
          <w:sz w:val="20"/>
          <w:szCs w:val="20"/>
        </w:rPr>
        <w:t xml:space="preserve"> 343–349</w:t>
      </w:r>
      <w:r w:rsidR="009C782A" w:rsidRPr="00D2601A">
        <w:rPr>
          <w:sz w:val="20"/>
          <w:szCs w:val="20"/>
        </w:rPr>
        <w:t>(2009)</w:t>
      </w:r>
      <w:r w:rsidR="00243C86" w:rsidRPr="00D2601A">
        <w:rPr>
          <w:sz w:val="20"/>
          <w:szCs w:val="20"/>
        </w:rPr>
        <w:t>.</w:t>
      </w:r>
    </w:p>
    <w:p w:rsidR="004A74E8" w:rsidRPr="00D2601A" w:rsidRDefault="008D2FF3" w:rsidP="00D635DE">
      <w:pPr>
        <w:pStyle w:val="NormalWeb"/>
        <w:spacing w:before="0" w:beforeAutospacing="0" w:after="0" w:afterAutospacing="0"/>
        <w:ind w:left="432" w:hanging="432"/>
        <w:jc w:val="both"/>
        <w:rPr>
          <w:sz w:val="20"/>
          <w:szCs w:val="20"/>
        </w:rPr>
      </w:pPr>
      <w:r w:rsidRPr="00D2601A">
        <w:rPr>
          <w:sz w:val="20"/>
          <w:szCs w:val="20"/>
        </w:rPr>
        <w:t xml:space="preserve"> </w:t>
      </w:r>
      <w:r w:rsidR="00510C43" w:rsidRPr="00D2601A">
        <w:rPr>
          <w:sz w:val="20"/>
          <w:szCs w:val="20"/>
        </w:rPr>
        <w:t>[7</w:t>
      </w:r>
      <w:r w:rsidR="0026320E" w:rsidRPr="00D2601A">
        <w:rPr>
          <w:sz w:val="20"/>
          <w:szCs w:val="20"/>
        </w:rPr>
        <w:t xml:space="preserve">] </w:t>
      </w:r>
      <w:r w:rsidR="00695D8B" w:rsidRPr="00D2601A">
        <w:rPr>
          <w:sz w:val="20"/>
          <w:szCs w:val="20"/>
        </w:rPr>
        <w:tab/>
      </w:r>
      <w:r w:rsidR="004A74E8" w:rsidRPr="00D2601A">
        <w:rPr>
          <w:sz w:val="20"/>
          <w:szCs w:val="20"/>
        </w:rPr>
        <w:t>F.V. Diaz</w:t>
      </w:r>
      <w:r w:rsidR="00F80291" w:rsidRPr="00D2601A">
        <w:rPr>
          <w:sz w:val="20"/>
          <w:szCs w:val="20"/>
        </w:rPr>
        <w:t xml:space="preserve"> and</w:t>
      </w:r>
      <w:r w:rsidR="004A74E8" w:rsidRPr="00D2601A">
        <w:rPr>
          <w:sz w:val="20"/>
          <w:szCs w:val="20"/>
        </w:rPr>
        <w:t xml:space="preserve"> S. P. de S. </w:t>
      </w:r>
      <w:r w:rsidR="009747F5" w:rsidRPr="00D2601A">
        <w:rPr>
          <w:sz w:val="20"/>
          <w:szCs w:val="20"/>
        </w:rPr>
        <w:t>"</w:t>
      </w:r>
      <w:r w:rsidR="004A74E8" w:rsidRPr="00D2601A">
        <w:rPr>
          <w:sz w:val="20"/>
          <w:szCs w:val="20"/>
        </w:rPr>
        <w:t>Studies on the acid activation of Brazilian semiotic clays</w:t>
      </w:r>
      <w:r w:rsidR="009747F5" w:rsidRPr="00D2601A">
        <w:rPr>
          <w:sz w:val="20"/>
          <w:szCs w:val="20"/>
        </w:rPr>
        <w:t>"</w:t>
      </w:r>
      <w:r w:rsidR="004A74E8" w:rsidRPr="00D2601A">
        <w:rPr>
          <w:sz w:val="20"/>
          <w:szCs w:val="20"/>
        </w:rPr>
        <w:t xml:space="preserve"> </w:t>
      </w:r>
      <w:r w:rsidR="004A74E8" w:rsidRPr="00D2601A">
        <w:rPr>
          <w:i/>
          <w:iCs/>
          <w:sz w:val="20"/>
          <w:szCs w:val="20"/>
        </w:rPr>
        <w:t>Nova</w:t>
      </w:r>
      <w:r w:rsidR="004A74E8" w:rsidRPr="00D2601A">
        <w:rPr>
          <w:sz w:val="20"/>
          <w:szCs w:val="20"/>
        </w:rPr>
        <w:t xml:space="preserve">, </w:t>
      </w:r>
      <w:r w:rsidR="004A74E8" w:rsidRPr="00D2601A">
        <w:rPr>
          <w:b/>
          <w:i/>
          <w:iCs/>
          <w:sz w:val="20"/>
          <w:szCs w:val="20"/>
        </w:rPr>
        <w:t>3</w:t>
      </w:r>
      <w:r w:rsidRPr="00D2601A">
        <w:rPr>
          <w:b/>
          <w:sz w:val="20"/>
          <w:szCs w:val="20"/>
        </w:rPr>
        <w:t>(24)</w:t>
      </w:r>
      <w:r w:rsidR="00F80291" w:rsidRPr="00D2601A">
        <w:rPr>
          <w:sz w:val="20"/>
          <w:szCs w:val="20"/>
        </w:rPr>
        <w:t>:</w:t>
      </w:r>
      <w:r w:rsidRPr="00D2601A">
        <w:rPr>
          <w:sz w:val="20"/>
          <w:szCs w:val="20"/>
        </w:rPr>
        <w:t xml:space="preserve"> 345–353(2001).</w:t>
      </w:r>
    </w:p>
    <w:p w:rsidR="009C501C" w:rsidRPr="00D2601A" w:rsidRDefault="002E4C0A" w:rsidP="00D635DE">
      <w:pPr>
        <w:pStyle w:val="NormalWeb"/>
        <w:spacing w:before="0" w:beforeAutospacing="0" w:after="0" w:afterAutospacing="0"/>
        <w:ind w:left="432" w:hanging="432"/>
        <w:jc w:val="both"/>
        <w:rPr>
          <w:sz w:val="20"/>
          <w:szCs w:val="20"/>
        </w:rPr>
      </w:pPr>
      <w:r w:rsidRPr="00D2601A">
        <w:rPr>
          <w:sz w:val="20"/>
          <w:szCs w:val="20"/>
        </w:rPr>
        <w:t>[8</w:t>
      </w:r>
      <w:r w:rsidR="009C501C" w:rsidRPr="00D2601A">
        <w:rPr>
          <w:sz w:val="20"/>
          <w:szCs w:val="20"/>
        </w:rPr>
        <w:t xml:space="preserve">]  </w:t>
      </w:r>
      <w:r w:rsidR="009C782A" w:rsidRPr="00D2601A">
        <w:rPr>
          <w:sz w:val="20"/>
          <w:szCs w:val="20"/>
        </w:rPr>
        <w:t xml:space="preserve"> </w:t>
      </w:r>
      <w:r w:rsidR="00E51B84" w:rsidRPr="00D2601A">
        <w:rPr>
          <w:sz w:val="20"/>
          <w:szCs w:val="20"/>
        </w:rPr>
        <w:t xml:space="preserve"> </w:t>
      </w:r>
      <w:r w:rsidR="00441E31" w:rsidRPr="00D2601A">
        <w:rPr>
          <w:color w:val="333333"/>
          <w:sz w:val="20"/>
          <w:szCs w:val="20"/>
          <w:shd w:val="clear" w:color="auto" w:fill="FFFFFF"/>
        </w:rPr>
        <w:t>Speight</w:t>
      </w:r>
      <w:r w:rsidR="00E51B84" w:rsidRPr="00D2601A">
        <w:rPr>
          <w:color w:val="333333"/>
          <w:sz w:val="20"/>
          <w:szCs w:val="20"/>
          <w:shd w:val="clear" w:color="auto" w:fill="FFFFFF"/>
        </w:rPr>
        <w:t>,</w:t>
      </w:r>
      <w:r w:rsidR="00441E31" w:rsidRPr="00D2601A">
        <w:rPr>
          <w:color w:val="333333"/>
          <w:sz w:val="20"/>
          <w:szCs w:val="20"/>
          <w:shd w:val="clear" w:color="auto" w:fill="FFFFFF"/>
        </w:rPr>
        <w:t xml:space="preserve"> J., Douglas I. E.</w:t>
      </w:r>
      <w:r w:rsidR="00AF54D4" w:rsidRPr="00D2601A">
        <w:rPr>
          <w:sz w:val="20"/>
          <w:szCs w:val="20"/>
        </w:rPr>
        <w:t xml:space="preserve"> </w:t>
      </w:r>
      <w:r w:rsidR="009747F5" w:rsidRPr="00D2601A">
        <w:rPr>
          <w:sz w:val="20"/>
          <w:szCs w:val="20"/>
        </w:rPr>
        <w:t>"</w:t>
      </w:r>
      <w:r w:rsidR="00AF54D4" w:rsidRPr="00D2601A">
        <w:rPr>
          <w:sz w:val="20"/>
          <w:szCs w:val="20"/>
        </w:rPr>
        <w:t>Refining Used lubri</w:t>
      </w:r>
      <w:r w:rsidR="006E235A" w:rsidRPr="00D2601A">
        <w:rPr>
          <w:sz w:val="20"/>
          <w:szCs w:val="20"/>
        </w:rPr>
        <w:softHyphen/>
      </w:r>
      <w:r w:rsidR="00AF54D4" w:rsidRPr="00D2601A">
        <w:rPr>
          <w:sz w:val="20"/>
          <w:szCs w:val="20"/>
        </w:rPr>
        <w:t>cating oil.</w:t>
      </w:r>
      <w:r w:rsidR="009747F5" w:rsidRPr="00D2601A">
        <w:rPr>
          <w:sz w:val="20"/>
          <w:szCs w:val="20"/>
        </w:rPr>
        <w:t>"</w:t>
      </w:r>
      <w:r w:rsidR="00AF54D4" w:rsidRPr="00D2601A">
        <w:rPr>
          <w:sz w:val="20"/>
          <w:szCs w:val="20"/>
        </w:rPr>
        <w:t xml:space="preserve"> </w:t>
      </w:r>
      <w:r w:rsidR="00441E31" w:rsidRPr="00D2601A">
        <w:rPr>
          <w:i/>
          <w:iCs/>
          <w:sz w:val="20"/>
          <w:szCs w:val="20"/>
        </w:rPr>
        <w:t xml:space="preserve">CRC Press: </w:t>
      </w:r>
      <w:r w:rsidR="00AF54D4" w:rsidRPr="00D2601A">
        <w:rPr>
          <w:b/>
          <w:sz w:val="20"/>
          <w:szCs w:val="20"/>
        </w:rPr>
        <w:t>99</w:t>
      </w:r>
      <w:r w:rsidR="008D2FF3" w:rsidRPr="00D2601A">
        <w:rPr>
          <w:sz w:val="20"/>
          <w:szCs w:val="20"/>
        </w:rPr>
        <w:t xml:space="preserve"> (2014)</w:t>
      </w:r>
    </w:p>
    <w:p w:rsidR="009D2B3C" w:rsidRPr="00D2601A" w:rsidRDefault="002E4C0A" w:rsidP="00D635DE">
      <w:pPr>
        <w:pStyle w:val="NormalWeb"/>
        <w:spacing w:before="0" w:beforeAutospacing="0" w:after="0" w:afterAutospacing="0"/>
        <w:ind w:left="432" w:hanging="432"/>
        <w:jc w:val="both"/>
        <w:rPr>
          <w:sz w:val="20"/>
          <w:szCs w:val="20"/>
        </w:rPr>
      </w:pPr>
      <w:r w:rsidRPr="00D2601A">
        <w:rPr>
          <w:sz w:val="20"/>
          <w:szCs w:val="20"/>
        </w:rPr>
        <w:t>[9</w:t>
      </w:r>
      <w:r w:rsidR="00BD17E6" w:rsidRPr="00D2601A">
        <w:rPr>
          <w:sz w:val="20"/>
          <w:szCs w:val="20"/>
        </w:rPr>
        <w:t xml:space="preserve">] </w:t>
      </w:r>
      <w:r w:rsidR="00695D8B" w:rsidRPr="00D2601A">
        <w:rPr>
          <w:sz w:val="20"/>
          <w:szCs w:val="20"/>
        </w:rPr>
        <w:tab/>
      </w:r>
      <w:r w:rsidR="009D2B3C" w:rsidRPr="00D2601A">
        <w:rPr>
          <w:sz w:val="20"/>
          <w:szCs w:val="20"/>
        </w:rPr>
        <w:t>Didi</w:t>
      </w:r>
      <w:r w:rsidR="00441E31" w:rsidRPr="00D2601A">
        <w:rPr>
          <w:sz w:val="20"/>
          <w:szCs w:val="20"/>
        </w:rPr>
        <w:t xml:space="preserve"> M.A.</w:t>
      </w:r>
      <w:r w:rsidR="009D2B3C" w:rsidRPr="00D2601A">
        <w:rPr>
          <w:sz w:val="20"/>
          <w:szCs w:val="20"/>
        </w:rPr>
        <w:t>, Makhoukhi</w:t>
      </w:r>
      <w:r w:rsidR="00441E31" w:rsidRPr="00D2601A">
        <w:rPr>
          <w:sz w:val="20"/>
          <w:szCs w:val="20"/>
        </w:rPr>
        <w:t xml:space="preserve"> B.</w:t>
      </w:r>
      <w:r w:rsidR="009D2B3C" w:rsidRPr="00D2601A">
        <w:rPr>
          <w:sz w:val="20"/>
          <w:szCs w:val="20"/>
        </w:rPr>
        <w:t>, Azzouz</w:t>
      </w:r>
      <w:r w:rsidR="00441E31" w:rsidRPr="00D2601A">
        <w:rPr>
          <w:sz w:val="20"/>
          <w:szCs w:val="20"/>
        </w:rPr>
        <w:t xml:space="preserve"> A.</w:t>
      </w:r>
      <w:r w:rsidR="009D2B3C" w:rsidRPr="00D2601A">
        <w:rPr>
          <w:sz w:val="20"/>
          <w:szCs w:val="20"/>
        </w:rPr>
        <w:t xml:space="preserve">, </w:t>
      </w:r>
      <w:r w:rsidR="002C7456" w:rsidRPr="00D2601A">
        <w:rPr>
          <w:sz w:val="20"/>
          <w:szCs w:val="20"/>
        </w:rPr>
        <w:t xml:space="preserve">and </w:t>
      </w:r>
      <w:r w:rsidR="009D2B3C" w:rsidRPr="00D2601A">
        <w:rPr>
          <w:sz w:val="20"/>
          <w:szCs w:val="20"/>
        </w:rPr>
        <w:t>V</w:t>
      </w:r>
      <w:r w:rsidR="002C7456" w:rsidRPr="00D2601A">
        <w:rPr>
          <w:sz w:val="20"/>
          <w:szCs w:val="20"/>
        </w:rPr>
        <w:t>illemin D,</w:t>
      </w:r>
      <w:r w:rsidR="009D2B3C" w:rsidRPr="00D2601A">
        <w:rPr>
          <w:sz w:val="20"/>
          <w:szCs w:val="20"/>
        </w:rPr>
        <w:t xml:space="preserve"> </w:t>
      </w:r>
      <w:r w:rsidR="009747F5" w:rsidRPr="00D2601A">
        <w:rPr>
          <w:sz w:val="20"/>
          <w:szCs w:val="20"/>
        </w:rPr>
        <w:t>"</w:t>
      </w:r>
      <w:r w:rsidR="009D2B3C" w:rsidRPr="00D2601A">
        <w:rPr>
          <w:sz w:val="20"/>
          <w:szCs w:val="20"/>
        </w:rPr>
        <w:t>Colza oil bleaching through optimized acid acti</w:t>
      </w:r>
      <w:r w:rsidR="006E235A" w:rsidRPr="00D2601A">
        <w:rPr>
          <w:sz w:val="20"/>
          <w:szCs w:val="20"/>
        </w:rPr>
        <w:softHyphen/>
      </w:r>
      <w:r w:rsidR="009D2B3C" w:rsidRPr="00D2601A">
        <w:rPr>
          <w:sz w:val="20"/>
          <w:szCs w:val="20"/>
        </w:rPr>
        <w:t xml:space="preserve">vation of bentonite. </w:t>
      </w:r>
      <w:r w:rsidR="009D2B3C" w:rsidRPr="00D2601A">
        <w:rPr>
          <w:i/>
          <w:iCs/>
          <w:sz w:val="20"/>
          <w:szCs w:val="20"/>
        </w:rPr>
        <w:t>A Comparative Study,</w:t>
      </w:r>
      <w:r w:rsidR="009747F5" w:rsidRPr="00D2601A">
        <w:rPr>
          <w:i/>
          <w:iCs/>
          <w:sz w:val="20"/>
          <w:szCs w:val="20"/>
        </w:rPr>
        <w:t>"</w:t>
      </w:r>
      <w:r w:rsidR="009D2B3C" w:rsidRPr="00D2601A">
        <w:rPr>
          <w:i/>
          <w:iCs/>
          <w:sz w:val="20"/>
          <w:szCs w:val="20"/>
        </w:rPr>
        <w:t xml:space="preserve"> Applied Clay Scienc</w:t>
      </w:r>
      <w:r w:rsidR="00441E31" w:rsidRPr="00D2601A">
        <w:rPr>
          <w:i/>
          <w:iCs/>
          <w:sz w:val="20"/>
          <w:szCs w:val="20"/>
        </w:rPr>
        <w:t>:</w:t>
      </w:r>
      <w:r w:rsidR="002C7456" w:rsidRPr="00D2601A">
        <w:rPr>
          <w:i/>
          <w:iCs/>
          <w:sz w:val="20"/>
          <w:szCs w:val="20"/>
        </w:rPr>
        <w:t xml:space="preserve"> </w:t>
      </w:r>
      <w:r w:rsidR="009D2B3C" w:rsidRPr="00D2601A">
        <w:rPr>
          <w:b/>
          <w:i/>
          <w:iCs/>
          <w:sz w:val="20"/>
          <w:szCs w:val="20"/>
        </w:rPr>
        <w:t>42</w:t>
      </w:r>
      <w:r w:rsidR="009D2B3C" w:rsidRPr="00D2601A">
        <w:rPr>
          <w:sz w:val="20"/>
          <w:szCs w:val="20"/>
        </w:rPr>
        <w:t>,</w:t>
      </w:r>
      <w:r w:rsidR="002C7456" w:rsidRPr="00D2601A">
        <w:rPr>
          <w:sz w:val="20"/>
          <w:szCs w:val="20"/>
        </w:rPr>
        <w:t xml:space="preserve"> </w:t>
      </w:r>
      <w:r w:rsidR="009D2B3C" w:rsidRPr="00D2601A">
        <w:rPr>
          <w:sz w:val="20"/>
          <w:szCs w:val="20"/>
        </w:rPr>
        <w:t>336–344</w:t>
      </w:r>
      <w:r w:rsidR="00441E31" w:rsidRPr="00D2601A">
        <w:rPr>
          <w:sz w:val="20"/>
          <w:szCs w:val="20"/>
        </w:rPr>
        <w:t xml:space="preserve"> </w:t>
      </w:r>
      <w:r w:rsidR="008D2FF3" w:rsidRPr="00D2601A">
        <w:rPr>
          <w:sz w:val="20"/>
          <w:szCs w:val="20"/>
        </w:rPr>
        <w:t>(2009).</w:t>
      </w:r>
    </w:p>
    <w:p w:rsidR="009D2B3C" w:rsidRPr="00D2601A" w:rsidRDefault="002E4C0A" w:rsidP="00D635DE">
      <w:pPr>
        <w:pStyle w:val="NormalWeb"/>
        <w:spacing w:before="0" w:beforeAutospacing="0" w:after="0" w:afterAutospacing="0"/>
        <w:ind w:left="432" w:hanging="432"/>
        <w:jc w:val="both"/>
        <w:rPr>
          <w:sz w:val="20"/>
          <w:szCs w:val="20"/>
        </w:rPr>
      </w:pPr>
      <w:r w:rsidRPr="00D2601A">
        <w:rPr>
          <w:sz w:val="20"/>
          <w:szCs w:val="20"/>
        </w:rPr>
        <w:t>[10</w:t>
      </w:r>
      <w:r w:rsidR="00BD17E6" w:rsidRPr="00D2601A">
        <w:rPr>
          <w:sz w:val="20"/>
          <w:szCs w:val="20"/>
        </w:rPr>
        <w:t xml:space="preserve">] </w:t>
      </w:r>
      <w:r w:rsidR="00441E31" w:rsidRPr="00D2601A">
        <w:rPr>
          <w:sz w:val="20"/>
          <w:szCs w:val="20"/>
        </w:rPr>
        <w:t xml:space="preserve"> </w:t>
      </w:r>
      <w:r w:rsidR="00C43FEB" w:rsidRPr="00D2601A">
        <w:rPr>
          <w:sz w:val="20"/>
          <w:szCs w:val="20"/>
        </w:rPr>
        <w:tab/>
      </w:r>
      <w:r w:rsidR="009D2B3C" w:rsidRPr="00D2601A">
        <w:rPr>
          <w:sz w:val="20"/>
          <w:szCs w:val="20"/>
        </w:rPr>
        <w:t>Farihahusnah</w:t>
      </w:r>
      <w:r w:rsidR="00E51B84" w:rsidRPr="00D2601A">
        <w:rPr>
          <w:sz w:val="20"/>
          <w:szCs w:val="20"/>
        </w:rPr>
        <w:t>,</w:t>
      </w:r>
      <w:r w:rsidR="00C43FEB" w:rsidRPr="00D2601A">
        <w:rPr>
          <w:sz w:val="20"/>
          <w:szCs w:val="20"/>
        </w:rPr>
        <w:t xml:space="preserve"> H.</w:t>
      </w:r>
      <w:r w:rsidR="009D2B3C" w:rsidRPr="00D2601A">
        <w:rPr>
          <w:sz w:val="20"/>
          <w:szCs w:val="20"/>
        </w:rPr>
        <w:t>, Mohamed</w:t>
      </w:r>
      <w:r w:rsidR="00C43FEB" w:rsidRPr="00D2601A">
        <w:rPr>
          <w:sz w:val="20"/>
          <w:szCs w:val="20"/>
        </w:rPr>
        <w:t xml:space="preserve"> K. A and</w:t>
      </w:r>
      <w:r w:rsidR="009D2B3C" w:rsidRPr="00D2601A">
        <w:rPr>
          <w:sz w:val="20"/>
          <w:szCs w:val="20"/>
        </w:rPr>
        <w:t xml:space="preserve"> W</w:t>
      </w:r>
      <w:r w:rsidR="00C43FEB" w:rsidRPr="00D2601A">
        <w:rPr>
          <w:sz w:val="20"/>
          <w:szCs w:val="20"/>
        </w:rPr>
        <w:t>an</w:t>
      </w:r>
      <w:r w:rsidR="009D2B3C" w:rsidRPr="00D2601A">
        <w:rPr>
          <w:sz w:val="20"/>
          <w:szCs w:val="20"/>
        </w:rPr>
        <w:t xml:space="preserve"> </w:t>
      </w:r>
      <w:r w:rsidR="00C43FEB" w:rsidRPr="00D2601A">
        <w:rPr>
          <w:sz w:val="20"/>
          <w:szCs w:val="20"/>
        </w:rPr>
        <w:t>M. A.</w:t>
      </w:r>
      <w:r w:rsidR="009D2B3C" w:rsidRPr="00D2601A">
        <w:rPr>
          <w:sz w:val="20"/>
          <w:szCs w:val="20"/>
        </w:rPr>
        <w:t xml:space="preserve"> W. </w:t>
      </w:r>
      <w:r w:rsidR="00C43FEB" w:rsidRPr="00D2601A">
        <w:rPr>
          <w:sz w:val="20"/>
          <w:szCs w:val="20"/>
        </w:rPr>
        <w:t>D</w:t>
      </w:r>
      <w:r w:rsidR="009D2B3C" w:rsidRPr="00D2601A">
        <w:rPr>
          <w:sz w:val="20"/>
          <w:szCs w:val="20"/>
        </w:rPr>
        <w:t>.</w:t>
      </w:r>
      <w:r w:rsidR="002C7456" w:rsidRPr="00D2601A">
        <w:rPr>
          <w:sz w:val="20"/>
          <w:szCs w:val="20"/>
        </w:rPr>
        <w:t xml:space="preserve"> </w:t>
      </w:r>
      <w:r w:rsidR="009747F5" w:rsidRPr="00D2601A">
        <w:rPr>
          <w:sz w:val="20"/>
          <w:szCs w:val="20"/>
        </w:rPr>
        <w:t>"</w:t>
      </w:r>
      <w:r w:rsidR="009D2B3C" w:rsidRPr="00D2601A">
        <w:rPr>
          <w:sz w:val="20"/>
          <w:szCs w:val="20"/>
        </w:rPr>
        <w:t>Textural characteristics, surface chemistry and activation of bleaching earth</w:t>
      </w:r>
      <w:r w:rsidR="009747F5" w:rsidRPr="00D2601A">
        <w:rPr>
          <w:sz w:val="20"/>
          <w:szCs w:val="20"/>
        </w:rPr>
        <w:t>"</w:t>
      </w:r>
      <w:r w:rsidR="009D2B3C" w:rsidRPr="00D2601A">
        <w:rPr>
          <w:sz w:val="20"/>
          <w:szCs w:val="20"/>
        </w:rPr>
        <w:t xml:space="preserve"> </w:t>
      </w:r>
      <w:r w:rsidR="009D2B3C" w:rsidRPr="00D2601A">
        <w:rPr>
          <w:i/>
          <w:iCs/>
          <w:sz w:val="20"/>
          <w:szCs w:val="20"/>
        </w:rPr>
        <w:t>A Review, Chem. Eng. Journal</w:t>
      </w:r>
      <w:r w:rsidR="00441E31" w:rsidRPr="00D2601A">
        <w:rPr>
          <w:i/>
          <w:iCs/>
          <w:sz w:val="20"/>
          <w:szCs w:val="20"/>
        </w:rPr>
        <w:t>,</w:t>
      </w:r>
      <w:r w:rsidR="009D2B3C" w:rsidRPr="00D2601A">
        <w:rPr>
          <w:i/>
          <w:iCs/>
          <w:sz w:val="20"/>
          <w:szCs w:val="20"/>
        </w:rPr>
        <w:t xml:space="preserve"> </w:t>
      </w:r>
      <w:r w:rsidR="009D2B3C" w:rsidRPr="00D2601A">
        <w:rPr>
          <w:b/>
          <w:i/>
          <w:iCs/>
          <w:sz w:val="20"/>
          <w:szCs w:val="20"/>
        </w:rPr>
        <w:t>170</w:t>
      </w:r>
      <w:r w:rsidR="00441E31" w:rsidRPr="00D2601A">
        <w:rPr>
          <w:sz w:val="20"/>
          <w:szCs w:val="20"/>
        </w:rPr>
        <w:t>:</w:t>
      </w:r>
      <w:r w:rsidR="009D2B3C" w:rsidRPr="00D2601A">
        <w:rPr>
          <w:sz w:val="20"/>
          <w:szCs w:val="20"/>
        </w:rPr>
        <w:t>90–106</w:t>
      </w:r>
      <w:r w:rsidR="008D2FF3" w:rsidRPr="00D2601A">
        <w:rPr>
          <w:sz w:val="20"/>
          <w:szCs w:val="20"/>
        </w:rPr>
        <w:t xml:space="preserve"> (2011)</w:t>
      </w:r>
      <w:r w:rsidR="009D2B3C" w:rsidRPr="00D2601A">
        <w:rPr>
          <w:sz w:val="20"/>
          <w:szCs w:val="20"/>
        </w:rPr>
        <w:t>.</w:t>
      </w:r>
    </w:p>
    <w:p w:rsidR="00243C86" w:rsidRPr="00D2601A" w:rsidRDefault="002E4C0A" w:rsidP="00D635DE">
      <w:pPr>
        <w:pStyle w:val="NormalWeb"/>
        <w:spacing w:before="0" w:beforeAutospacing="0" w:after="0" w:afterAutospacing="0"/>
        <w:ind w:left="432" w:hanging="432"/>
        <w:jc w:val="both"/>
        <w:rPr>
          <w:sz w:val="20"/>
          <w:szCs w:val="20"/>
        </w:rPr>
      </w:pPr>
      <w:r w:rsidRPr="00D2601A">
        <w:rPr>
          <w:sz w:val="20"/>
          <w:szCs w:val="20"/>
        </w:rPr>
        <w:t>[11</w:t>
      </w:r>
      <w:r w:rsidR="00601E32" w:rsidRPr="00D2601A">
        <w:rPr>
          <w:sz w:val="20"/>
          <w:szCs w:val="20"/>
        </w:rPr>
        <w:t xml:space="preserve">]   </w:t>
      </w:r>
      <w:r w:rsidR="00243C86" w:rsidRPr="00D2601A">
        <w:rPr>
          <w:sz w:val="20"/>
          <w:szCs w:val="20"/>
        </w:rPr>
        <w:t xml:space="preserve">ETERIGHO, E. J., </w:t>
      </w:r>
      <w:r w:rsidR="00C43FEB" w:rsidRPr="00D2601A">
        <w:rPr>
          <w:sz w:val="20"/>
          <w:szCs w:val="20"/>
        </w:rPr>
        <w:t>and</w:t>
      </w:r>
      <w:r w:rsidR="00243C86" w:rsidRPr="00D2601A">
        <w:rPr>
          <w:sz w:val="20"/>
          <w:szCs w:val="20"/>
        </w:rPr>
        <w:t xml:space="preserve"> OLUTOYE, M. A. </w:t>
      </w:r>
      <w:r w:rsidR="009747F5" w:rsidRPr="00D2601A">
        <w:rPr>
          <w:sz w:val="20"/>
          <w:szCs w:val="20"/>
        </w:rPr>
        <w:t>"</w:t>
      </w:r>
      <w:r w:rsidR="00243C86" w:rsidRPr="00D2601A">
        <w:rPr>
          <w:sz w:val="20"/>
          <w:szCs w:val="20"/>
        </w:rPr>
        <w:t>Qual</w:t>
      </w:r>
      <w:r w:rsidR="006E235A" w:rsidRPr="00D2601A">
        <w:rPr>
          <w:sz w:val="20"/>
          <w:szCs w:val="20"/>
        </w:rPr>
        <w:softHyphen/>
      </w:r>
      <w:r w:rsidR="00243C86" w:rsidRPr="00D2601A">
        <w:rPr>
          <w:sz w:val="20"/>
          <w:szCs w:val="20"/>
        </w:rPr>
        <w:t xml:space="preserve">ity Improvement of an Acid Treated Fuel </w:t>
      </w:r>
      <w:r w:rsidR="007659A2" w:rsidRPr="00D2601A">
        <w:rPr>
          <w:sz w:val="20"/>
          <w:szCs w:val="20"/>
        </w:rPr>
        <w:t>oil</w:t>
      </w:r>
      <w:r w:rsidR="00243C86" w:rsidRPr="00D2601A">
        <w:rPr>
          <w:sz w:val="20"/>
          <w:szCs w:val="20"/>
        </w:rPr>
        <w:t>.</w:t>
      </w:r>
      <w:r w:rsidR="009747F5" w:rsidRPr="00D2601A">
        <w:rPr>
          <w:sz w:val="20"/>
          <w:szCs w:val="20"/>
        </w:rPr>
        <w:t>"</w:t>
      </w:r>
      <w:r w:rsidR="00243C86" w:rsidRPr="00D2601A">
        <w:rPr>
          <w:sz w:val="20"/>
          <w:szCs w:val="20"/>
        </w:rPr>
        <w:t xml:space="preserve"> </w:t>
      </w:r>
      <w:r w:rsidR="00243C86" w:rsidRPr="00D2601A">
        <w:rPr>
          <w:i/>
          <w:iCs/>
          <w:sz w:val="20"/>
          <w:szCs w:val="20"/>
        </w:rPr>
        <w:t>Leonardo Electronic Journal of Prac</w:t>
      </w:r>
      <w:r w:rsidR="006E235A" w:rsidRPr="00D2601A">
        <w:rPr>
          <w:i/>
          <w:iCs/>
          <w:sz w:val="20"/>
          <w:szCs w:val="20"/>
        </w:rPr>
        <w:softHyphen/>
      </w:r>
      <w:r w:rsidR="00243C86" w:rsidRPr="00D2601A">
        <w:rPr>
          <w:i/>
          <w:iCs/>
          <w:sz w:val="20"/>
          <w:szCs w:val="20"/>
        </w:rPr>
        <w:t>tices and Technologies</w:t>
      </w:r>
      <w:r w:rsidR="00243C86" w:rsidRPr="00D2601A">
        <w:rPr>
          <w:sz w:val="20"/>
          <w:szCs w:val="20"/>
        </w:rPr>
        <w:t xml:space="preserve">, </w:t>
      </w:r>
      <w:r w:rsidR="00243C86" w:rsidRPr="00D2601A">
        <w:rPr>
          <w:b/>
          <w:i/>
          <w:iCs/>
          <w:sz w:val="20"/>
          <w:szCs w:val="20"/>
        </w:rPr>
        <w:t>7</w:t>
      </w:r>
      <w:r w:rsidR="00243C86" w:rsidRPr="00D2601A">
        <w:rPr>
          <w:b/>
          <w:sz w:val="20"/>
          <w:szCs w:val="20"/>
        </w:rPr>
        <w:t>(12)</w:t>
      </w:r>
      <w:r w:rsidR="00243C86" w:rsidRPr="00D2601A">
        <w:rPr>
          <w:sz w:val="20"/>
          <w:szCs w:val="20"/>
        </w:rPr>
        <w:t>, 95–104</w:t>
      </w:r>
      <w:r w:rsidR="009747F5" w:rsidRPr="00D2601A">
        <w:rPr>
          <w:sz w:val="20"/>
          <w:szCs w:val="20"/>
        </w:rPr>
        <w:t xml:space="preserve"> </w:t>
      </w:r>
      <w:r w:rsidR="008D2FF3" w:rsidRPr="00D2601A">
        <w:rPr>
          <w:sz w:val="20"/>
          <w:szCs w:val="20"/>
        </w:rPr>
        <w:t>(2008)</w:t>
      </w:r>
      <w:r w:rsidR="00243C86" w:rsidRPr="00D2601A">
        <w:rPr>
          <w:sz w:val="20"/>
          <w:szCs w:val="20"/>
        </w:rPr>
        <w:t xml:space="preserve">. </w:t>
      </w:r>
    </w:p>
    <w:p w:rsidR="00243C86" w:rsidRPr="00D2601A" w:rsidRDefault="006E4490" w:rsidP="00D635DE">
      <w:pPr>
        <w:pStyle w:val="NormalWeb"/>
        <w:spacing w:before="0" w:beforeAutospacing="0" w:after="0" w:afterAutospacing="0"/>
        <w:ind w:left="432" w:hanging="432"/>
        <w:jc w:val="both"/>
        <w:rPr>
          <w:sz w:val="20"/>
          <w:szCs w:val="20"/>
        </w:rPr>
      </w:pPr>
      <w:r w:rsidRPr="00D2601A">
        <w:rPr>
          <w:noProof/>
          <w:sz w:val="20"/>
          <w:szCs w:val="20"/>
        </w:rPr>
        <w:t>[12</w:t>
      </w:r>
      <w:r w:rsidR="00601E32" w:rsidRPr="00D2601A">
        <w:rPr>
          <w:noProof/>
          <w:sz w:val="20"/>
          <w:szCs w:val="20"/>
        </w:rPr>
        <w:t xml:space="preserve">]   </w:t>
      </w:r>
      <w:r w:rsidR="00243C86" w:rsidRPr="00D2601A">
        <w:rPr>
          <w:sz w:val="20"/>
          <w:szCs w:val="20"/>
        </w:rPr>
        <w:t xml:space="preserve">Lipscomb. T.G. </w:t>
      </w:r>
      <w:r w:rsidR="009747F5" w:rsidRPr="00D2601A">
        <w:rPr>
          <w:sz w:val="20"/>
          <w:szCs w:val="20"/>
        </w:rPr>
        <w:t>"</w:t>
      </w:r>
      <w:r w:rsidR="00243C86" w:rsidRPr="00D2601A">
        <w:rPr>
          <w:sz w:val="20"/>
          <w:szCs w:val="20"/>
        </w:rPr>
        <w:t xml:space="preserve">II. </w:t>
      </w:r>
      <w:r w:rsidR="00243C86" w:rsidRPr="00D2601A">
        <w:rPr>
          <w:iCs/>
          <w:sz w:val="20"/>
          <w:szCs w:val="20"/>
        </w:rPr>
        <w:t>Mineral Insulating Oil Manufacturing and Safekeeping. Electrical In</w:t>
      </w:r>
      <w:r w:rsidR="006E235A" w:rsidRPr="00D2601A">
        <w:rPr>
          <w:iCs/>
          <w:sz w:val="20"/>
          <w:szCs w:val="20"/>
        </w:rPr>
        <w:softHyphen/>
      </w:r>
      <w:r w:rsidR="00243C86" w:rsidRPr="00D2601A">
        <w:rPr>
          <w:iCs/>
          <w:sz w:val="20"/>
          <w:szCs w:val="20"/>
        </w:rPr>
        <w:t>sulating Oils</w:t>
      </w:r>
      <w:r w:rsidR="00243C86" w:rsidRPr="00D2601A">
        <w:rPr>
          <w:sz w:val="20"/>
          <w:szCs w:val="20"/>
        </w:rPr>
        <w:t>.</w:t>
      </w:r>
      <w:r w:rsidR="009747F5" w:rsidRPr="00D2601A">
        <w:rPr>
          <w:sz w:val="20"/>
          <w:szCs w:val="20"/>
        </w:rPr>
        <w:t>"</w:t>
      </w:r>
      <w:r w:rsidR="00243C86" w:rsidRPr="00D2601A">
        <w:rPr>
          <w:sz w:val="20"/>
          <w:szCs w:val="20"/>
        </w:rPr>
        <w:t xml:space="preserve"> </w:t>
      </w:r>
      <w:r w:rsidR="00243C86" w:rsidRPr="00D2601A">
        <w:rPr>
          <w:i/>
          <w:sz w:val="20"/>
          <w:szCs w:val="20"/>
        </w:rPr>
        <w:t>American Society for Testing and Material, Philadelphia.</w:t>
      </w:r>
      <w:r w:rsidR="008D2FF3" w:rsidRPr="00D2601A">
        <w:rPr>
          <w:sz w:val="20"/>
          <w:szCs w:val="20"/>
        </w:rPr>
        <w:t xml:space="preserve"> (1998)</w:t>
      </w:r>
      <w:r w:rsidR="009C782A" w:rsidRPr="00D2601A">
        <w:rPr>
          <w:sz w:val="20"/>
          <w:szCs w:val="20"/>
        </w:rPr>
        <w:t>.</w:t>
      </w:r>
    </w:p>
    <w:p w:rsidR="00AF54D4" w:rsidRPr="00D2601A" w:rsidRDefault="00A7517E" w:rsidP="00D635DE">
      <w:pPr>
        <w:pStyle w:val="NormalWeb"/>
        <w:spacing w:before="0" w:beforeAutospacing="0" w:after="0" w:afterAutospacing="0"/>
        <w:ind w:left="432" w:hanging="432"/>
        <w:rPr>
          <w:sz w:val="20"/>
          <w:szCs w:val="20"/>
        </w:rPr>
      </w:pPr>
      <w:r w:rsidRPr="00D2601A">
        <w:rPr>
          <w:noProof/>
          <w:sz w:val="20"/>
          <w:szCs w:val="20"/>
        </w:rPr>
        <w:t>[</w:t>
      </w:r>
      <w:r w:rsidR="00BD17E6" w:rsidRPr="00D2601A">
        <w:rPr>
          <w:noProof/>
          <w:sz w:val="20"/>
          <w:szCs w:val="20"/>
        </w:rPr>
        <w:t>1</w:t>
      </w:r>
      <w:r w:rsidR="009A5750" w:rsidRPr="00D2601A">
        <w:rPr>
          <w:noProof/>
          <w:sz w:val="20"/>
          <w:szCs w:val="20"/>
        </w:rPr>
        <w:t>3</w:t>
      </w:r>
      <w:r w:rsidR="00405731" w:rsidRPr="00D2601A">
        <w:rPr>
          <w:noProof/>
          <w:sz w:val="20"/>
          <w:szCs w:val="20"/>
        </w:rPr>
        <w:t>]</w:t>
      </w:r>
      <w:r w:rsidR="00405731" w:rsidRPr="00D2601A">
        <w:rPr>
          <w:noProof/>
          <w:sz w:val="20"/>
          <w:szCs w:val="20"/>
        </w:rPr>
        <w:tab/>
      </w:r>
      <w:r w:rsidR="00AF54D4" w:rsidRPr="00D2601A">
        <w:rPr>
          <w:sz w:val="20"/>
          <w:szCs w:val="20"/>
        </w:rPr>
        <w:t xml:space="preserve">Nasrat, L., Abdelwahab, M., &amp; Ismail, G. </w:t>
      </w:r>
      <w:r w:rsidR="009747F5" w:rsidRPr="00D2601A">
        <w:rPr>
          <w:sz w:val="20"/>
          <w:szCs w:val="20"/>
        </w:rPr>
        <w:t>"</w:t>
      </w:r>
      <w:r w:rsidR="00AF54D4" w:rsidRPr="00D2601A">
        <w:rPr>
          <w:sz w:val="20"/>
          <w:szCs w:val="20"/>
        </w:rPr>
        <w:t>Improvement of Used Transformer Oils with Activated Bentonite</w:t>
      </w:r>
      <w:r w:rsidR="009747F5" w:rsidRPr="00D2601A">
        <w:rPr>
          <w:sz w:val="20"/>
          <w:szCs w:val="20"/>
        </w:rPr>
        <w:t>,"</w:t>
      </w:r>
      <w:r w:rsidR="00C43FEB" w:rsidRPr="00D2601A">
        <w:rPr>
          <w:sz w:val="20"/>
          <w:szCs w:val="20"/>
        </w:rPr>
        <w:t>:</w:t>
      </w:r>
      <w:r w:rsidR="00AF54D4" w:rsidRPr="00D2601A">
        <w:rPr>
          <w:sz w:val="20"/>
          <w:szCs w:val="20"/>
        </w:rPr>
        <w:t xml:space="preserve"> 588–593</w:t>
      </w:r>
      <w:r w:rsidR="008D2FF3" w:rsidRPr="00D2601A">
        <w:rPr>
          <w:i/>
          <w:iCs/>
          <w:sz w:val="20"/>
          <w:szCs w:val="20"/>
        </w:rPr>
        <w:t xml:space="preserve"> </w:t>
      </w:r>
      <w:r w:rsidR="009747F5" w:rsidRPr="00D2601A">
        <w:rPr>
          <w:sz w:val="20"/>
          <w:szCs w:val="20"/>
        </w:rPr>
        <w:t>(2011).</w:t>
      </w:r>
    </w:p>
    <w:p w:rsidR="002E5AEB" w:rsidRPr="00D2601A" w:rsidRDefault="00BD17E6" w:rsidP="00D635DE">
      <w:pPr>
        <w:pStyle w:val="NormalWeb"/>
        <w:spacing w:before="0" w:beforeAutospacing="0" w:after="0" w:afterAutospacing="0"/>
        <w:ind w:left="432" w:hanging="432"/>
        <w:jc w:val="both"/>
        <w:rPr>
          <w:sz w:val="20"/>
          <w:szCs w:val="20"/>
        </w:rPr>
      </w:pPr>
      <w:r w:rsidRPr="00D2601A">
        <w:rPr>
          <w:noProof/>
          <w:sz w:val="20"/>
          <w:szCs w:val="20"/>
        </w:rPr>
        <w:t>[</w:t>
      </w:r>
      <w:r w:rsidR="009A5750" w:rsidRPr="00D2601A">
        <w:rPr>
          <w:noProof/>
          <w:sz w:val="20"/>
          <w:szCs w:val="20"/>
        </w:rPr>
        <w:t>14</w:t>
      </w:r>
      <w:r w:rsidR="00405731" w:rsidRPr="00D2601A">
        <w:rPr>
          <w:noProof/>
          <w:sz w:val="20"/>
          <w:szCs w:val="20"/>
        </w:rPr>
        <w:t>]</w:t>
      </w:r>
      <w:r w:rsidR="00405731" w:rsidRPr="00D2601A">
        <w:rPr>
          <w:noProof/>
          <w:sz w:val="20"/>
          <w:szCs w:val="20"/>
        </w:rPr>
        <w:tab/>
      </w:r>
      <w:r w:rsidR="002E5AEB" w:rsidRPr="00D2601A">
        <w:rPr>
          <w:sz w:val="20"/>
          <w:szCs w:val="20"/>
        </w:rPr>
        <w:t>Products, P., &amp;</w:t>
      </w:r>
      <w:r w:rsidR="008D2FF3" w:rsidRPr="00D2601A">
        <w:rPr>
          <w:sz w:val="20"/>
          <w:szCs w:val="20"/>
        </w:rPr>
        <w:t xml:space="preserve"> Petrolatum, </w:t>
      </w:r>
      <w:r w:rsidR="009747F5" w:rsidRPr="00D2601A">
        <w:rPr>
          <w:sz w:val="20"/>
          <w:szCs w:val="20"/>
        </w:rPr>
        <w:t>"</w:t>
      </w:r>
      <w:r w:rsidR="008D2FF3" w:rsidRPr="00D2601A">
        <w:rPr>
          <w:sz w:val="20"/>
          <w:szCs w:val="20"/>
        </w:rPr>
        <w:t>I</w:t>
      </w:r>
      <w:r w:rsidR="002E5AEB" w:rsidRPr="00D2601A">
        <w:rPr>
          <w:sz w:val="20"/>
          <w:szCs w:val="20"/>
        </w:rPr>
        <w:t>. Standard Test Method for ASTM Color of Petroleum Prod</w:t>
      </w:r>
      <w:r w:rsidR="006E235A" w:rsidRPr="00D2601A">
        <w:rPr>
          <w:sz w:val="20"/>
          <w:szCs w:val="20"/>
        </w:rPr>
        <w:softHyphen/>
      </w:r>
      <w:r w:rsidR="002E5AEB" w:rsidRPr="00D2601A">
        <w:rPr>
          <w:sz w:val="20"/>
          <w:szCs w:val="20"/>
        </w:rPr>
        <w:t xml:space="preserve">ucts </w:t>
      </w:r>
      <w:r w:rsidR="008D2FF3" w:rsidRPr="00D2601A">
        <w:rPr>
          <w:sz w:val="20"/>
          <w:szCs w:val="20"/>
        </w:rPr>
        <w:t>(ASTM</w:t>
      </w:r>
      <w:r w:rsidR="002E5AEB" w:rsidRPr="00D2601A">
        <w:rPr>
          <w:sz w:val="20"/>
          <w:szCs w:val="20"/>
        </w:rPr>
        <w:t xml:space="preserve"> Color </w:t>
      </w:r>
      <w:r w:rsidR="008D2FF3" w:rsidRPr="00D2601A">
        <w:rPr>
          <w:sz w:val="20"/>
          <w:szCs w:val="20"/>
        </w:rPr>
        <w:t>Scale)</w:t>
      </w:r>
      <w:r w:rsidR="002E5AEB" w:rsidRPr="00D2601A">
        <w:rPr>
          <w:sz w:val="20"/>
          <w:szCs w:val="20"/>
        </w:rPr>
        <w:t xml:space="preserve"> 1.</w:t>
      </w:r>
      <w:r w:rsidR="009747F5" w:rsidRPr="00D2601A">
        <w:rPr>
          <w:sz w:val="20"/>
          <w:szCs w:val="20"/>
        </w:rPr>
        <w:t>"</w:t>
      </w:r>
      <w:r w:rsidR="002E5AEB" w:rsidRPr="00D2601A">
        <w:rPr>
          <w:sz w:val="20"/>
          <w:szCs w:val="20"/>
        </w:rPr>
        <w:t xml:space="preserve"> </w:t>
      </w:r>
      <w:r w:rsidR="002E5AEB" w:rsidRPr="00D2601A">
        <w:rPr>
          <w:i/>
          <w:iCs/>
          <w:sz w:val="20"/>
          <w:szCs w:val="20"/>
        </w:rPr>
        <w:t>Annual Book of ASTM Standards</w:t>
      </w:r>
      <w:r w:rsidR="00C43FEB" w:rsidRPr="00D2601A">
        <w:rPr>
          <w:sz w:val="20"/>
          <w:szCs w:val="20"/>
        </w:rPr>
        <w:t>:</w:t>
      </w:r>
      <w:r w:rsidR="002E5AEB" w:rsidRPr="00D2601A">
        <w:rPr>
          <w:sz w:val="20"/>
          <w:szCs w:val="20"/>
        </w:rPr>
        <w:t xml:space="preserve"> 1–5</w:t>
      </w:r>
      <w:r w:rsidR="009747F5" w:rsidRPr="00D2601A">
        <w:rPr>
          <w:sz w:val="20"/>
          <w:szCs w:val="20"/>
        </w:rPr>
        <w:t>(1959)</w:t>
      </w:r>
      <w:r w:rsidR="002E5AEB" w:rsidRPr="00D2601A">
        <w:rPr>
          <w:sz w:val="20"/>
          <w:szCs w:val="20"/>
        </w:rPr>
        <w:t xml:space="preserve">. </w:t>
      </w:r>
    </w:p>
    <w:p w:rsidR="00405731" w:rsidRPr="00D2601A" w:rsidRDefault="00BD17E6" w:rsidP="00D635DE">
      <w:pPr>
        <w:pStyle w:val="NormalWeb"/>
        <w:spacing w:before="0" w:beforeAutospacing="0" w:after="0" w:afterAutospacing="0"/>
        <w:ind w:left="432" w:hanging="432"/>
        <w:jc w:val="both"/>
        <w:rPr>
          <w:noProof/>
          <w:sz w:val="20"/>
          <w:szCs w:val="20"/>
        </w:rPr>
      </w:pPr>
      <w:r w:rsidRPr="00D2601A">
        <w:rPr>
          <w:noProof/>
          <w:sz w:val="20"/>
          <w:szCs w:val="20"/>
        </w:rPr>
        <w:t>[</w:t>
      </w:r>
      <w:r w:rsidR="009A5750" w:rsidRPr="00D2601A">
        <w:rPr>
          <w:noProof/>
          <w:sz w:val="20"/>
          <w:szCs w:val="20"/>
        </w:rPr>
        <w:t>15</w:t>
      </w:r>
      <w:r w:rsidR="00405731" w:rsidRPr="00D2601A">
        <w:rPr>
          <w:noProof/>
          <w:sz w:val="20"/>
          <w:szCs w:val="20"/>
        </w:rPr>
        <w:t>]</w:t>
      </w:r>
      <w:r w:rsidR="00405731" w:rsidRPr="00D2601A">
        <w:rPr>
          <w:noProof/>
          <w:sz w:val="20"/>
          <w:szCs w:val="20"/>
        </w:rPr>
        <w:tab/>
        <w:t xml:space="preserve">60184 IEC, “Insulating liquids–Determination of water by Coulometric Karl Fisher titration – Test method,” </w:t>
      </w:r>
      <w:r w:rsidR="00405731" w:rsidRPr="00D2601A">
        <w:rPr>
          <w:i/>
          <w:iCs/>
          <w:noProof/>
          <w:sz w:val="20"/>
          <w:szCs w:val="20"/>
        </w:rPr>
        <w:t>Int. Electrotech. Comm.</w:t>
      </w:r>
      <w:r w:rsidR="00C43FEB" w:rsidRPr="00D2601A">
        <w:rPr>
          <w:noProof/>
          <w:sz w:val="20"/>
          <w:szCs w:val="20"/>
        </w:rPr>
        <w:t>:</w:t>
      </w:r>
      <w:r w:rsidR="009C782A" w:rsidRPr="00D2601A">
        <w:rPr>
          <w:noProof/>
          <w:sz w:val="20"/>
          <w:szCs w:val="20"/>
        </w:rPr>
        <w:t xml:space="preserve"> </w:t>
      </w:r>
      <w:r w:rsidR="009747F5" w:rsidRPr="00D2601A">
        <w:rPr>
          <w:noProof/>
          <w:sz w:val="20"/>
          <w:szCs w:val="20"/>
        </w:rPr>
        <w:t>(</w:t>
      </w:r>
      <w:r w:rsidR="00405731" w:rsidRPr="00D2601A">
        <w:rPr>
          <w:noProof/>
          <w:sz w:val="20"/>
          <w:szCs w:val="20"/>
        </w:rPr>
        <w:t>2008</w:t>
      </w:r>
      <w:r w:rsidR="009747F5" w:rsidRPr="00D2601A">
        <w:rPr>
          <w:noProof/>
          <w:sz w:val="20"/>
          <w:szCs w:val="20"/>
        </w:rPr>
        <w:t>)</w:t>
      </w:r>
    </w:p>
    <w:p w:rsidR="00405731" w:rsidRPr="00D2601A" w:rsidRDefault="00BD17E6" w:rsidP="00D635DE">
      <w:pPr>
        <w:pStyle w:val="NormalWeb"/>
        <w:spacing w:before="0" w:beforeAutospacing="0" w:after="0" w:afterAutospacing="0"/>
        <w:ind w:left="432" w:hanging="432"/>
        <w:jc w:val="both"/>
        <w:rPr>
          <w:noProof/>
          <w:sz w:val="20"/>
          <w:szCs w:val="20"/>
        </w:rPr>
      </w:pPr>
      <w:r w:rsidRPr="00D2601A">
        <w:rPr>
          <w:noProof/>
          <w:sz w:val="20"/>
          <w:szCs w:val="20"/>
        </w:rPr>
        <w:t>[</w:t>
      </w:r>
      <w:r w:rsidR="009A5750" w:rsidRPr="00D2601A">
        <w:rPr>
          <w:noProof/>
          <w:sz w:val="20"/>
          <w:szCs w:val="20"/>
        </w:rPr>
        <w:t>16</w:t>
      </w:r>
      <w:r w:rsidR="00405731" w:rsidRPr="00D2601A">
        <w:rPr>
          <w:noProof/>
          <w:sz w:val="20"/>
          <w:szCs w:val="20"/>
        </w:rPr>
        <w:t>]</w:t>
      </w:r>
      <w:r w:rsidR="00405731" w:rsidRPr="00D2601A">
        <w:rPr>
          <w:noProof/>
          <w:sz w:val="20"/>
          <w:szCs w:val="20"/>
        </w:rPr>
        <w:tab/>
        <w:t xml:space="preserve">60247 IEC, “Insulating liquids – Determination of the dielectric dissipation factor – Test method,” </w:t>
      </w:r>
      <w:r w:rsidR="00405731" w:rsidRPr="00D2601A">
        <w:rPr>
          <w:i/>
          <w:iCs/>
          <w:noProof/>
          <w:sz w:val="20"/>
          <w:szCs w:val="20"/>
        </w:rPr>
        <w:t>Int. Electrotech. Comm.</w:t>
      </w:r>
      <w:r w:rsidR="00C43FEB" w:rsidRPr="00D2601A">
        <w:rPr>
          <w:noProof/>
          <w:sz w:val="20"/>
          <w:szCs w:val="20"/>
        </w:rPr>
        <w:t>:</w:t>
      </w:r>
      <w:r w:rsidR="00405731" w:rsidRPr="00D2601A">
        <w:rPr>
          <w:noProof/>
          <w:sz w:val="20"/>
          <w:szCs w:val="20"/>
        </w:rPr>
        <w:t xml:space="preserve"> </w:t>
      </w:r>
      <w:r w:rsidR="009747F5" w:rsidRPr="00D2601A">
        <w:rPr>
          <w:noProof/>
          <w:sz w:val="20"/>
          <w:szCs w:val="20"/>
        </w:rPr>
        <w:t>(</w:t>
      </w:r>
      <w:r w:rsidR="00405731" w:rsidRPr="00D2601A">
        <w:rPr>
          <w:noProof/>
          <w:sz w:val="20"/>
          <w:szCs w:val="20"/>
        </w:rPr>
        <w:t>2004</w:t>
      </w:r>
      <w:r w:rsidR="009747F5" w:rsidRPr="00D2601A">
        <w:rPr>
          <w:noProof/>
          <w:sz w:val="20"/>
          <w:szCs w:val="20"/>
        </w:rPr>
        <w:t>)</w:t>
      </w:r>
      <w:r w:rsidR="00405731" w:rsidRPr="00D2601A">
        <w:rPr>
          <w:noProof/>
          <w:sz w:val="20"/>
          <w:szCs w:val="20"/>
        </w:rPr>
        <w:t xml:space="preserve"> </w:t>
      </w:r>
    </w:p>
    <w:p w:rsidR="00405731" w:rsidRPr="00D2601A" w:rsidRDefault="00BD17E6" w:rsidP="00D635DE">
      <w:pPr>
        <w:pStyle w:val="NormalWeb"/>
        <w:spacing w:before="0" w:beforeAutospacing="0" w:after="0" w:afterAutospacing="0"/>
        <w:ind w:left="432" w:hanging="432"/>
        <w:jc w:val="both"/>
        <w:rPr>
          <w:noProof/>
          <w:sz w:val="20"/>
          <w:szCs w:val="20"/>
        </w:rPr>
      </w:pPr>
      <w:r w:rsidRPr="00D2601A">
        <w:rPr>
          <w:noProof/>
          <w:sz w:val="20"/>
          <w:szCs w:val="20"/>
        </w:rPr>
        <w:t>[</w:t>
      </w:r>
      <w:r w:rsidR="009A5750" w:rsidRPr="00D2601A">
        <w:rPr>
          <w:noProof/>
          <w:sz w:val="20"/>
          <w:szCs w:val="20"/>
        </w:rPr>
        <w:t>17</w:t>
      </w:r>
      <w:r w:rsidR="00405731" w:rsidRPr="00D2601A">
        <w:rPr>
          <w:noProof/>
          <w:sz w:val="20"/>
          <w:szCs w:val="20"/>
        </w:rPr>
        <w:t>]</w:t>
      </w:r>
      <w:r w:rsidR="00405731" w:rsidRPr="00D2601A">
        <w:rPr>
          <w:noProof/>
          <w:sz w:val="20"/>
          <w:szCs w:val="20"/>
        </w:rPr>
        <w:tab/>
        <w:t xml:space="preserve">IEC 62021-1, “Determination of Acidity-Part-1 Automatic potentiometric titration – Test method,” </w:t>
      </w:r>
      <w:r w:rsidR="00405731" w:rsidRPr="00D2601A">
        <w:rPr>
          <w:i/>
          <w:iCs/>
          <w:noProof/>
          <w:sz w:val="20"/>
          <w:szCs w:val="20"/>
        </w:rPr>
        <w:t>Int. Electrotech. Comm.</w:t>
      </w:r>
      <w:r w:rsidR="00405731" w:rsidRPr="00D2601A">
        <w:rPr>
          <w:noProof/>
          <w:sz w:val="20"/>
          <w:szCs w:val="20"/>
        </w:rPr>
        <w:t xml:space="preserve">, </w:t>
      </w:r>
      <w:r w:rsidR="009747F5" w:rsidRPr="00D2601A">
        <w:rPr>
          <w:noProof/>
          <w:sz w:val="20"/>
          <w:szCs w:val="20"/>
        </w:rPr>
        <w:t>(</w:t>
      </w:r>
      <w:r w:rsidR="00405731" w:rsidRPr="00D2601A">
        <w:rPr>
          <w:noProof/>
          <w:sz w:val="20"/>
          <w:szCs w:val="20"/>
        </w:rPr>
        <w:t>2003</w:t>
      </w:r>
      <w:r w:rsidR="009747F5" w:rsidRPr="00D2601A">
        <w:rPr>
          <w:noProof/>
          <w:sz w:val="20"/>
          <w:szCs w:val="20"/>
        </w:rPr>
        <w:t>)</w:t>
      </w:r>
      <w:r w:rsidR="00405731" w:rsidRPr="00D2601A">
        <w:rPr>
          <w:noProof/>
          <w:sz w:val="20"/>
          <w:szCs w:val="20"/>
        </w:rPr>
        <w:t xml:space="preserve"> </w:t>
      </w:r>
    </w:p>
    <w:p w:rsidR="00AF54D4" w:rsidRPr="00D2601A" w:rsidRDefault="009A5750" w:rsidP="00D635DE">
      <w:pPr>
        <w:pStyle w:val="NormalWeb"/>
        <w:spacing w:before="0" w:beforeAutospacing="0" w:after="0" w:afterAutospacing="0"/>
        <w:ind w:left="432" w:hanging="432"/>
        <w:jc w:val="both"/>
        <w:rPr>
          <w:noProof/>
          <w:sz w:val="20"/>
          <w:szCs w:val="20"/>
        </w:rPr>
      </w:pPr>
      <w:r w:rsidRPr="00D2601A">
        <w:rPr>
          <w:noProof/>
          <w:sz w:val="20"/>
          <w:szCs w:val="20"/>
        </w:rPr>
        <w:t>[18]</w:t>
      </w:r>
      <w:r w:rsidRPr="00D2601A">
        <w:rPr>
          <w:noProof/>
          <w:sz w:val="20"/>
          <w:szCs w:val="20"/>
        </w:rPr>
        <w:tab/>
      </w:r>
      <w:r w:rsidR="009747F5" w:rsidRPr="00D2601A">
        <w:rPr>
          <w:sz w:val="20"/>
          <w:szCs w:val="20"/>
        </w:rPr>
        <w:t>Mohammad</w:t>
      </w:r>
      <w:r w:rsidR="00E51B84" w:rsidRPr="00D2601A">
        <w:rPr>
          <w:sz w:val="20"/>
          <w:szCs w:val="20"/>
        </w:rPr>
        <w:t>,</w:t>
      </w:r>
      <w:r w:rsidR="009747F5" w:rsidRPr="00D2601A">
        <w:rPr>
          <w:sz w:val="20"/>
          <w:szCs w:val="20"/>
        </w:rPr>
        <w:t xml:space="preserve"> R. Meshkatoddini Sha</w:t>
      </w:r>
      <w:r w:rsidR="009747F5" w:rsidRPr="00D2601A">
        <w:rPr>
          <w:sz w:val="20"/>
          <w:szCs w:val="20"/>
        </w:rPr>
        <w:softHyphen/>
        <w:t xml:space="preserve">hid Abbaspour </w:t>
      </w:r>
      <w:r w:rsidRPr="00D2601A">
        <w:rPr>
          <w:sz w:val="20"/>
          <w:szCs w:val="20"/>
        </w:rPr>
        <w:t xml:space="preserve">S. </w:t>
      </w:r>
      <w:r w:rsidR="009747F5" w:rsidRPr="00D2601A">
        <w:rPr>
          <w:sz w:val="20"/>
          <w:szCs w:val="20"/>
        </w:rPr>
        <w:t>"</w:t>
      </w:r>
      <w:r w:rsidRPr="00D2601A">
        <w:rPr>
          <w:sz w:val="20"/>
          <w:szCs w:val="20"/>
        </w:rPr>
        <w:t>Aging Study and Lifetime Estimation of Transformer Min</w:t>
      </w:r>
      <w:r w:rsidR="006E235A" w:rsidRPr="00D2601A">
        <w:rPr>
          <w:sz w:val="20"/>
          <w:szCs w:val="20"/>
        </w:rPr>
        <w:softHyphen/>
      </w:r>
      <w:r w:rsidRPr="00D2601A">
        <w:rPr>
          <w:sz w:val="20"/>
          <w:szCs w:val="20"/>
        </w:rPr>
        <w:t>eral Oil Power and Water University of Technology , Tehran , Iran</w:t>
      </w:r>
      <w:r w:rsidR="00AA1D10" w:rsidRPr="00D2601A">
        <w:rPr>
          <w:sz w:val="20"/>
          <w:szCs w:val="20"/>
        </w:rPr>
        <w:t>"</w:t>
      </w:r>
      <w:r w:rsidRPr="00D2601A">
        <w:rPr>
          <w:sz w:val="20"/>
          <w:szCs w:val="20"/>
        </w:rPr>
        <w:t xml:space="preserve"> </w:t>
      </w:r>
      <w:r w:rsidRPr="00D2601A">
        <w:rPr>
          <w:i/>
          <w:iCs/>
          <w:sz w:val="20"/>
          <w:szCs w:val="20"/>
        </w:rPr>
        <w:t>Carbon</w:t>
      </w:r>
      <w:r w:rsidRPr="00D2601A">
        <w:rPr>
          <w:sz w:val="20"/>
          <w:szCs w:val="20"/>
        </w:rPr>
        <w:t xml:space="preserve">, </w:t>
      </w:r>
      <w:r w:rsidRPr="00D2601A">
        <w:rPr>
          <w:b/>
          <w:i/>
          <w:iCs/>
          <w:sz w:val="20"/>
          <w:szCs w:val="20"/>
        </w:rPr>
        <w:t>1</w:t>
      </w:r>
      <w:r w:rsidRPr="00D2601A">
        <w:rPr>
          <w:b/>
          <w:sz w:val="20"/>
          <w:szCs w:val="20"/>
        </w:rPr>
        <w:t>(4)</w:t>
      </w:r>
      <w:r w:rsidR="00C43FEB" w:rsidRPr="00D2601A">
        <w:rPr>
          <w:sz w:val="20"/>
          <w:szCs w:val="20"/>
        </w:rPr>
        <w:t>:</w:t>
      </w:r>
      <w:r w:rsidRPr="00D2601A">
        <w:rPr>
          <w:sz w:val="20"/>
          <w:szCs w:val="20"/>
        </w:rPr>
        <w:t>384–388</w:t>
      </w:r>
      <w:r w:rsidR="008D2FF3" w:rsidRPr="00D2601A">
        <w:rPr>
          <w:sz w:val="20"/>
          <w:szCs w:val="20"/>
        </w:rPr>
        <w:t>(2008)</w:t>
      </w:r>
      <w:r w:rsidRPr="00D2601A">
        <w:rPr>
          <w:sz w:val="20"/>
          <w:szCs w:val="20"/>
        </w:rPr>
        <w:t>.</w:t>
      </w:r>
      <w:r w:rsidR="009747F5" w:rsidRPr="00D2601A">
        <w:rPr>
          <w:sz w:val="20"/>
          <w:szCs w:val="20"/>
        </w:rPr>
        <w:t xml:space="preserve"> </w:t>
      </w:r>
    </w:p>
    <w:p w:rsidR="00EC5AB3" w:rsidRPr="00D2601A" w:rsidRDefault="009A5750" w:rsidP="00D635DE">
      <w:pPr>
        <w:pStyle w:val="NormalWeb"/>
        <w:spacing w:before="0" w:beforeAutospacing="0" w:after="0" w:afterAutospacing="0"/>
        <w:ind w:left="432" w:hanging="432"/>
        <w:jc w:val="both"/>
        <w:rPr>
          <w:sz w:val="20"/>
          <w:szCs w:val="20"/>
        </w:rPr>
      </w:pPr>
      <w:r w:rsidRPr="00D2601A">
        <w:rPr>
          <w:noProof/>
          <w:sz w:val="20"/>
          <w:szCs w:val="20"/>
        </w:rPr>
        <w:t>[19</w:t>
      </w:r>
      <w:r w:rsidR="00AC357F" w:rsidRPr="00D2601A">
        <w:rPr>
          <w:noProof/>
          <w:sz w:val="20"/>
          <w:szCs w:val="20"/>
        </w:rPr>
        <w:t>]</w:t>
      </w:r>
      <w:r w:rsidR="00AC357F" w:rsidRPr="00D2601A">
        <w:rPr>
          <w:noProof/>
          <w:sz w:val="20"/>
          <w:szCs w:val="20"/>
        </w:rPr>
        <w:tab/>
      </w:r>
      <w:r w:rsidR="00EC5AB3" w:rsidRPr="00D2601A">
        <w:rPr>
          <w:sz w:val="20"/>
          <w:szCs w:val="20"/>
        </w:rPr>
        <w:t>Chowdary, M. L., Singh, S</w:t>
      </w:r>
      <w:r w:rsidR="00AB2EAB" w:rsidRPr="00D2601A">
        <w:rPr>
          <w:sz w:val="20"/>
          <w:szCs w:val="20"/>
        </w:rPr>
        <w:t>. K., Jarial, R. K.</w:t>
      </w:r>
      <w:r w:rsidR="00AA1D10" w:rsidRPr="00D2601A">
        <w:rPr>
          <w:sz w:val="20"/>
          <w:szCs w:val="20"/>
        </w:rPr>
        <w:t xml:space="preserve"> "</w:t>
      </w:r>
      <w:r w:rsidR="00AB2EAB" w:rsidRPr="00D2601A">
        <w:rPr>
          <w:sz w:val="20"/>
          <w:szCs w:val="20"/>
        </w:rPr>
        <w:t>Analysi</w:t>
      </w:r>
      <w:r w:rsidR="00EC5AB3" w:rsidRPr="00D2601A">
        <w:rPr>
          <w:sz w:val="20"/>
          <w:szCs w:val="20"/>
        </w:rPr>
        <w:t>s</w:t>
      </w:r>
      <w:r w:rsidR="00C43FEB" w:rsidRPr="00D2601A">
        <w:rPr>
          <w:sz w:val="20"/>
          <w:szCs w:val="20"/>
        </w:rPr>
        <w:t xml:space="preserve">   </w:t>
      </w:r>
      <w:r w:rsidR="00AB2EAB" w:rsidRPr="00D2601A">
        <w:rPr>
          <w:sz w:val="20"/>
          <w:szCs w:val="20"/>
        </w:rPr>
        <w:t>o</w:t>
      </w:r>
      <w:r w:rsidR="00EC5AB3" w:rsidRPr="00D2601A">
        <w:rPr>
          <w:sz w:val="20"/>
          <w:szCs w:val="20"/>
        </w:rPr>
        <w:t>f</w:t>
      </w:r>
      <w:r w:rsidR="00AB2EAB" w:rsidRPr="00D2601A">
        <w:rPr>
          <w:sz w:val="20"/>
          <w:szCs w:val="20"/>
        </w:rPr>
        <w:t xml:space="preserve"> Oi</w:t>
      </w:r>
      <w:r w:rsidR="00EC5AB3" w:rsidRPr="00D2601A">
        <w:rPr>
          <w:sz w:val="20"/>
          <w:szCs w:val="20"/>
        </w:rPr>
        <w:t xml:space="preserve">l </w:t>
      </w:r>
      <w:r w:rsidR="00AB2EAB" w:rsidRPr="00D2601A">
        <w:rPr>
          <w:sz w:val="20"/>
          <w:szCs w:val="20"/>
        </w:rPr>
        <w:t>Quality Inde</w:t>
      </w:r>
      <w:r w:rsidR="00EC5AB3" w:rsidRPr="00D2601A">
        <w:rPr>
          <w:sz w:val="20"/>
          <w:szCs w:val="20"/>
        </w:rPr>
        <w:t xml:space="preserve">x </w:t>
      </w:r>
      <w:r w:rsidR="00AB2EAB" w:rsidRPr="00D2601A">
        <w:rPr>
          <w:sz w:val="20"/>
          <w:szCs w:val="20"/>
        </w:rPr>
        <w:t>an</w:t>
      </w:r>
      <w:r w:rsidR="00EC5AB3" w:rsidRPr="00D2601A">
        <w:rPr>
          <w:sz w:val="20"/>
          <w:szCs w:val="20"/>
        </w:rPr>
        <w:t xml:space="preserve">d </w:t>
      </w:r>
      <w:r w:rsidR="00AB2EAB" w:rsidRPr="00D2601A">
        <w:rPr>
          <w:sz w:val="20"/>
          <w:szCs w:val="20"/>
        </w:rPr>
        <w:t>Dielec</w:t>
      </w:r>
      <w:r w:rsidR="006E235A" w:rsidRPr="00D2601A">
        <w:rPr>
          <w:sz w:val="20"/>
          <w:szCs w:val="20"/>
        </w:rPr>
        <w:softHyphen/>
      </w:r>
      <w:r w:rsidR="00AB2EAB" w:rsidRPr="00D2601A">
        <w:rPr>
          <w:sz w:val="20"/>
          <w:szCs w:val="20"/>
        </w:rPr>
        <w:t>tri</w:t>
      </w:r>
      <w:r w:rsidR="00EC5AB3" w:rsidRPr="00D2601A">
        <w:rPr>
          <w:sz w:val="20"/>
          <w:szCs w:val="20"/>
        </w:rPr>
        <w:t xml:space="preserve">c </w:t>
      </w:r>
      <w:r w:rsidR="00AB2EAB" w:rsidRPr="00D2601A">
        <w:rPr>
          <w:sz w:val="20"/>
          <w:szCs w:val="20"/>
        </w:rPr>
        <w:t>Dissipation Facto</w:t>
      </w:r>
      <w:r w:rsidR="00EC5AB3" w:rsidRPr="00D2601A">
        <w:rPr>
          <w:sz w:val="20"/>
          <w:szCs w:val="20"/>
        </w:rPr>
        <w:t>r</w:t>
      </w:r>
      <w:r w:rsidR="00AA1D10" w:rsidRPr="00D2601A">
        <w:rPr>
          <w:sz w:val="20"/>
          <w:szCs w:val="20"/>
        </w:rPr>
        <w:t>,"</w:t>
      </w:r>
      <w:r w:rsidR="00C43FEB" w:rsidRPr="00D2601A">
        <w:rPr>
          <w:sz w:val="20"/>
          <w:szCs w:val="20"/>
        </w:rPr>
        <w:t>:</w:t>
      </w:r>
      <w:r w:rsidR="00EC5AB3" w:rsidRPr="00D2601A">
        <w:rPr>
          <w:b/>
          <w:i/>
          <w:iCs/>
          <w:sz w:val="20"/>
          <w:szCs w:val="20"/>
        </w:rPr>
        <w:t>4</w:t>
      </w:r>
      <w:r w:rsidR="00EC5AB3" w:rsidRPr="00D2601A">
        <w:rPr>
          <w:b/>
          <w:sz w:val="20"/>
          <w:szCs w:val="20"/>
        </w:rPr>
        <w:t>(4)</w:t>
      </w:r>
      <w:r w:rsidR="009C782A" w:rsidRPr="00D2601A">
        <w:rPr>
          <w:sz w:val="20"/>
          <w:szCs w:val="20"/>
        </w:rPr>
        <w:t>:</w:t>
      </w:r>
      <w:r w:rsidR="00EC5AB3" w:rsidRPr="00D2601A">
        <w:rPr>
          <w:sz w:val="20"/>
          <w:szCs w:val="20"/>
        </w:rPr>
        <w:t>223–230</w:t>
      </w:r>
      <w:r w:rsidR="008D2FF3" w:rsidRPr="00D2601A">
        <w:rPr>
          <w:sz w:val="20"/>
          <w:szCs w:val="20"/>
        </w:rPr>
        <w:t xml:space="preserve">  (2014)</w:t>
      </w:r>
      <w:r w:rsidR="00EC5AB3" w:rsidRPr="00D2601A">
        <w:rPr>
          <w:sz w:val="20"/>
          <w:szCs w:val="20"/>
        </w:rPr>
        <w:t>.</w:t>
      </w:r>
    </w:p>
    <w:p w:rsidR="00AF54D4" w:rsidRPr="00D2601A" w:rsidRDefault="00BD17E6" w:rsidP="00D635DE">
      <w:pPr>
        <w:pStyle w:val="NormalWeb"/>
        <w:spacing w:before="0" w:beforeAutospacing="0" w:after="0" w:afterAutospacing="0"/>
        <w:ind w:left="432" w:hanging="432"/>
        <w:jc w:val="both"/>
        <w:rPr>
          <w:sz w:val="20"/>
          <w:szCs w:val="20"/>
        </w:rPr>
      </w:pPr>
      <w:r w:rsidRPr="00D2601A">
        <w:rPr>
          <w:sz w:val="20"/>
          <w:szCs w:val="20"/>
        </w:rPr>
        <w:t>[2</w:t>
      </w:r>
      <w:r w:rsidR="00C02E1E" w:rsidRPr="00D2601A">
        <w:rPr>
          <w:sz w:val="20"/>
          <w:szCs w:val="20"/>
        </w:rPr>
        <w:t>0</w:t>
      </w:r>
      <w:r w:rsidR="00AF54D4" w:rsidRPr="00D2601A">
        <w:rPr>
          <w:sz w:val="20"/>
          <w:szCs w:val="20"/>
        </w:rPr>
        <w:t>]</w:t>
      </w:r>
      <w:r w:rsidR="00AF54D4" w:rsidRPr="00D2601A">
        <w:rPr>
          <w:sz w:val="20"/>
          <w:szCs w:val="20"/>
        </w:rPr>
        <w:tab/>
        <w:t>Shukla</w:t>
      </w:r>
      <w:r w:rsidR="00E51B84" w:rsidRPr="00D2601A">
        <w:rPr>
          <w:sz w:val="20"/>
          <w:szCs w:val="20"/>
        </w:rPr>
        <w:t>,</w:t>
      </w:r>
      <w:r w:rsidR="009C782A" w:rsidRPr="00D2601A">
        <w:rPr>
          <w:sz w:val="20"/>
          <w:szCs w:val="20"/>
        </w:rPr>
        <w:t xml:space="preserve"> P.</w:t>
      </w:r>
      <w:r w:rsidR="00AF54D4" w:rsidRPr="00D2601A">
        <w:rPr>
          <w:sz w:val="20"/>
          <w:szCs w:val="20"/>
        </w:rPr>
        <w:t>, Sood,</w:t>
      </w:r>
      <w:r w:rsidR="009C782A" w:rsidRPr="00D2601A">
        <w:rPr>
          <w:sz w:val="20"/>
          <w:szCs w:val="20"/>
        </w:rPr>
        <w:t xml:space="preserve"> Y.R., </w:t>
      </w:r>
      <w:r w:rsidR="00AF54D4" w:rsidRPr="00D2601A">
        <w:rPr>
          <w:sz w:val="20"/>
          <w:szCs w:val="20"/>
        </w:rPr>
        <w:t xml:space="preserve"> R. K. J. (n.d.). </w:t>
      </w:r>
      <w:r w:rsidR="00AA1D10" w:rsidRPr="00D2601A">
        <w:rPr>
          <w:sz w:val="20"/>
          <w:szCs w:val="20"/>
        </w:rPr>
        <w:t>"</w:t>
      </w:r>
      <w:r w:rsidR="00AF54D4" w:rsidRPr="00D2601A">
        <w:rPr>
          <w:sz w:val="20"/>
          <w:szCs w:val="20"/>
        </w:rPr>
        <w:t>Experimental Evaluation of Water Content In Transformer Oil</w:t>
      </w:r>
      <w:r w:rsidR="00AA1D10" w:rsidRPr="00D2601A">
        <w:rPr>
          <w:sz w:val="20"/>
          <w:szCs w:val="20"/>
        </w:rPr>
        <w:t>"</w:t>
      </w:r>
      <w:r w:rsidR="00AF54D4" w:rsidRPr="00D2601A">
        <w:rPr>
          <w:sz w:val="20"/>
          <w:szCs w:val="20"/>
        </w:rPr>
        <w:t xml:space="preserve"> </w:t>
      </w:r>
      <w:r w:rsidR="00AF54D4" w:rsidRPr="00D2601A">
        <w:rPr>
          <w:i/>
          <w:iCs/>
          <w:sz w:val="20"/>
          <w:szCs w:val="20"/>
        </w:rPr>
        <w:t>International Journal of Inno</w:t>
      </w:r>
      <w:r w:rsidR="006E235A" w:rsidRPr="00D2601A">
        <w:rPr>
          <w:i/>
          <w:iCs/>
          <w:sz w:val="20"/>
          <w:szCs w:val="20"/>
        </w:rPr>
        <w:softHyphen/>
      </w:r>
      <w:r w:rsidR="00AF54D4" w:rsidRPr="00D2601A">
        <w:rPr>
          <w:i/>
          <w:iCs/>
          <w:sz w:val="20"/>
          <w:szCs w:val="20"/>
        </w:rPr>
        <w:t>vative Research in Science, Engineering and Technology</w:t>
      </w:r>
      <w:r w:rsidR="00AF54D4" w:rsidRPr="00D2601A">
        <w:rPr>
          <w:sz w:val="20"/>
          <w:szCs w:val="20"/>
        </w:rPr>
        <w:t xml:space="preserve">, </w:t>
      </w:r>
      <w:r w:rsidR="00AF54D4" w:rsidRPr="00D2601A">
        <w:rPr>
          <w:b/>
          <w:i/>
          <w:iCs/>
          <w:sz w:val="20"/>
          <w:szCs w:val="20"/>
        </w:rPr>
        <w:t>2</w:t>
      </w:r>
      <w:r w:rsidR="00AF54D4" w:rsidRPr="00D2601A">
        <w:rPr>
          <w:b/>
          <w:sz w:val="20"/>
          <w:szCs w:val="20"/>
        </w:rPr>
        <w:t>(1)</w:t>
      </w:r>
      <w:r w:rsidR="00E51B84" w:rsidRPr="00D2601A">
        <w:rPr>
          <w:sz w:val="20"/>
          <w:szCs w:val="20"/>
        </w:rPr>
        <w:t xml:space="preserve">: </w:t>
      </w:r>
      <w:r w:rsidR="009C782A" w:rsidRPr="00D2601A">
        <w:rPr>
          <w:sz w:val="20"/>
          <w:szCs w:val="20"/>
        </w:rPr>
        <w:t>2013</w:t>
      </w:r>
    </w:p>
    <w:p w:rsidR="00B47359" w:rsidRPr="00D2601A" w:rsidRDefault="000F0FF7" w:rsidP="00D635DE">
      <w:pPr>
        <w:pStyle w:val="NormalWeb"/>
        <w:spacing w:before="0" w:beforeAutospacing="0" w:after="0" w:afterAutospacing="0"/>
        <w:ind w:left="432" w:hanging="432"/>
        <w:jc w:val="both"/>
        <w:rPr>
          <w:sz w:val="20"/>
          <w:szCs w:val="20"/>
        </w:rPr>
      </w:pPr>
      <w:r w:rsidRPr="00D2601A">
        <w:rPr>
          <w:noProof/>
          <w:sz w:val="20"/>
          <w:szCs w:val="20"/>
        </w:rPr>
        <w:t xml:space="preserve"> [21]</w:t>
      </w:r>
      <w:r w:rsidR="00B47359" w:rsidRPr="00D2601A">
        <w:rPr>
          <w:sz w:val="20"/>
          <w:szCs w:val="20"/>
        </w:rPr>
        <w:tab/>
        <w:t xml:space="preserve">Onal, E. </w:t>
      </w:r>
      <w:r w:rsidR="00AA1D10" w:rsidRPr="00D2601A">
        <w:rPr>
          <w:sz w:val="20"/>
          <w:szCs w:val="20"/>
        </w:rPr>
        <w:t>"</w:t>
      </w:r>
      <w:r w:rsidR="00B47359" w:rsidRPr="00D2601A">
        <w:rPr>
          <w:sz w:val="20"/>
          <w:szCs w:val="20"/>
        </w:rPr>
        <w:t>A Study for Examining Dissipation Factors of Various Insulations and Test Trans</w:t>
      </w:r>
      <w:r w:rsidR="006E235A" w:rsidRPr="00D2601A">
        <w:rPr>
          <w:sz w:val="20"/>
          <w:szCs w:val="20"/>
        </w:rPr>
        <w:softHyphen/>
      </w:r>
      <w:r w:rsidR="00B47359" w:rsidRPr="00D2601A">
        <w:rPr>
          <w:sz w:val="20"/>
          <w:szCs w:val="20"/>
        </w:rPr>
        <w:t>formers in the Wide Range of Fre</w:t>
      </w:r>
      <w:r w:rsidR="006E235A" w:rsidRPr="00D2601A">
        <w:rPr>
          <w:sz w:val="20"/>
          <w:szCs w:val="20"/>
        </w:rPr>
        <w:softHyphen/>
      </w:r>
      <w:r w:rsidR="00B47359" w:rsidRPr="00D2601A">
        <w:rPr>
          <w:sz w:val="20"/>
          <w:szCs w:val="20"/>
        </w:rPr>
        <w:t>quency</w:t>
      </w:r>
      <w:r w:rsidR="00AA1D10" w:rsidRPr="00D2601A">
        <w:rPr>
          <w:sz w:val="20"/>
          <w:szCs w:val="20"/>
        </w:rPr>
        <w:t>"</w:t>
      </w:r>
      <w:r w:rsidR="00B47359" w:rsidRPr="00D2601A">
        <w:rPr>
          <w:sz w:val="20"/>
          <w:szCs w:val="20"/>
        </w:rPr>
        <w:t xml:space="preserve">, </w:t>
      </w:r>
      <w:r w:rsidR="00B47359" w:rsidRPr="00D2601A">
        <w:rPr>
          <w:b/>
          <w:i/>
          <w:iCs/>
          <w:sz w:val="20"/>
          <w:szCs w:val="20"/>
        </w:rPr>
        <w:t>5</w:t>
      </w:r>
      <w:r w:rsidR="00B47359" w:rsidRPr="00D2601A">
        <w:rPr>
          <w:b/>
          <w:sz w:val="20"/>
          <w:szCs w:val="20"/>
        </w:rPr>
        <w:t>(5)</w:t>
      </w:r>
      <w:r w:rsidR="00C43FEB" w:rsidRPr="00D2601A">
        <w:rPr>
          <w:b/>
          <w:sz w:val="20"/>
          <w:szCs w:val="20"/>
        </w:rPr>
        <w:t>:</w:t>
      </w:r>
      <w:r w:rsidR="008D2FF3" w:rsidRPr="00D2601A">
        <w:rPr>
          <w:sz w:val="20"/>
          <w:szCs w:val="20"/>
        </w:rPr>
        <w:t xml:space="preserve"> (2012</w:t>
      </w:r>
      <w:r w:rsidR="00C43FEB" w:rsidRPr="00D2601A">
        <w:rPr>
          <w:sz w:val="20"/>
          <w:szCs w:val="20"/>
        </w:rPr>
        <w:t>)</w:t>
      </w:r>
      <w:r w:rsidR="00B47359" w:rsidRPr="00D2601A">
        <w:rPr>
          <w:sz w:val="20"/>
          <w:szCs w:val="20"/>
        </w:rPr>
        <w:t>.</w:t>
      </w:r>
    </w:p>
    <w:p w:rsidR="00B47359" w:rsidRPr="00D2601A" w:rsidRDefault="000F0FF7" w:rsidP="00D635DE">
      <w:pPr>
        <w:pStyle w:val="NormalWeb"/>
        <w:spacing w:before="0" w:beforeAutospacing="0" w:after="0" w:afterAutospacing="0"/>
        <w:ind w:left="432" w:hanging="432"/>
        <w:jc w:val="both"/>
        <w:rPr>
          <w:sz w:val="20"/>
          <w:szCs w:val="20"/>
        </w:rPr>
      </w:pPr>
      <w:r w:rsidRPr="00D2601A">
        <w:rPr>
          <w:sz w:val="20"/>
          <w:szCs w:val="20"/>
        </w:rPr>
        <w:t>[22]</w:t>
      </w:r>
      <w:r w:rsidR="00B47359" w:rsidRPr="00D2601A">
        <w:rPr>
          <w:sz w:val="20"/>
          <w:szCs w:val="20"/>
        </w:rPr>
        <w:tab/>
        <w:t xml:space="preserve">Emam, E. A., </w:t>
      </w:r>
      <w:r w:rsidR="00C43FEB" w:rsidRPr="00D2601A">
        <w:rPr>
          <w:sz w:val="20"/>
          <w:szCs w:val="20"/>
        </w:rPr>
        <w:t>a</w:t>
      </w:r>
      <w:r w:rsidR="00B47359" w:rsidRPr="00D2601A">
        <w:rPr>
          <w:sz w:val="20"/>
          <w:szCs w:val="20"/>
        </w:rPr>
        <w:t xml:space="preserve"> Shoaib, A. M. </w:t>
      </w:r>
      <w:r w:rsidR="00AA1D10" w:rsidRPr="00D2601A">
        <w:rPr>
          <w:sz w:val="20"/>
          <w:szCs w:val="20"/>
        </w:rPr>
        <w:t>"</w:t>
      </w:r>
      <w:r w:rsidR="00B47359" w:rsidRPr="00D2601A">
        <w:rPr>
          <w:sz w:val="20"/>
          <w:szCs w:val="20"/>
        </w:rPr>
        <w:t>Re-refining of Used Lube Oil , II- by Solvent / Clay and Acid / Clay-Percolation Processes,</w:t>
      </w:r>
      <w:r w:rsidR="00AA1D10" w:rsidRPr="00D2601A">
        <w:rPr>
          <w:sz w:val="20"/>
          <w:szCs w:val="20"/>
        </w:rPr>
        <w:t>"</w:t>
      </w:r>
      <w:r w:rsidR="00B47359" w:rsidRPr="00D2601A">
        <w:rPr>
          <w:sz w:val="20"/>
          <w:szCs w:val="20"/>
        </w:rPr>
        <w:t xml:space="preserve"> </w:t>
      </w:r>
      <w:r w:rsidR="00B47359" w:rsidRPr="00D2601A">
        <w:rPr>
          <w:b/>
          <w:i/>
          <w:iCs/>
          <w:sz w:val="20"/>
          <w:szCs w:val="20"/>
        </w:rPr>
        <w:t>2</w:t>
      </w:r>
      <w:r w:rsidR="00B47359" w:rsidRPr="00D2601A">
        <w:rPr>
          <w:b/>
          <w:sz w:val="20"/>
          <w:szCs w:val="20"/>
        </w:rPr>
        <w:t>(11)</w:t>
      </w:r>
      <w:r w:rsidR="00C43FEB" w:rsidRPr="00D2601A">
        <w:rPr>
          <w:sz w:val="20"/>
          <w:szCs w:val="20"/>
        </w:rPr>
        <w:t>:</w:t>
      </w:r>
      <w:r w:rsidR="00B47359" w:rsidRPr="00D2601A">
        <w:rPr>
          <w:sz w:val="20"/>
          <w:szCs w:val="20"/>
        </w:rPr>
        <w:t xml:space="preserve"> 1034–1041</w:t>
      </w:r>
      <w:r w:rsidR="008D2FF3" w:rsidRPr="00D2601A">
        <w:rPr>
          <w:sz w:val="20"/>
          <w:szCs w:val="20"/>
        </w:rPr>
        <w:t xml:space="preserve"> (2012)</w:t>
      </w:r>
      <w:r w:rsidR="00B47359" w:rsidRPr="00D2601A">
        <w:rPr>
          <w:sz w:val="20"/>
          <w:szCs w:val="20"/>
        </w:rPr>
        <w:t>.</w:t>
      </w:r>
    </w:p>
    <w:p w:rsidR="003F2BE5" w:rsidRDefault="00382076" w:rsidP="00D2601A">
      <w:pPr>
        <w:pStyle w:val="NormalWeb"/>
        <w:spacing w:before="0" w:beforeAutospacing="0" w:after="0" w:afterAutospacing="0"/>
        <w:jc w:val="both"/>
        <w:rPr>
          <w:b/>
          <w:bCs/>
          <w:sz w:val="20"/>
          <w:szCs w:val="20"/>
        </w:rPr>
        <w:sectPr w:rsidR="003F2BE5" w:rsidSect="00692DA5">
          <w:type w:val="continuous"/>
          <w:pgSz w:w="12240" w:h="15840" w:code="1"/>
          <w:pgMar w:top="1008" w:right="1296" w:bottom="1008" w:left="1008" w:header="720" w:footer="720" w:gutter="0"/>
          <w:cols w:num="2" w:space="288"/>
          <w:noEndnote/>
          <w:docGrid w:linePitch="299"/>
        </w:sectPr>
      </w:pPr>
      <w:r w:rsidRPr="00D2601A">
        <w:rPr>
          <w:b/>
          <w:bCs/>
          <w:sz w:val="20"/>
          <w:szCs w:val="20"/>
        </w:rPr>
        <w:fldChar w:fldCharType="end"/>
      </w:r>
      <w:bookmarkEnd w:id="1"/>
    </w:p>
    <w:p w:rsidR="009A5D69" w:rsidRPr="003F2BE5" w:rsidRDefault="009A5D69" w:rsidP="00D41EEA">
      <w:pPr>
        <w:pStyle w:val="NormalWeb"/>
        <w:spacing w:before="0" w:beforeAutospacing="0" w:after="0" w:afterAutospacing="0"/>
        <w:jc w:val="both"/>
      </w:pPr>
    </w:p>
    <w:sectPr w:rsidR="009A5D69" w:rsidRPr="003F2BE5" w:rsidSect="00D2601A">
      <w:pgSz w:w="11907" w:h="16839" w:code="9"/>
      <w:pgMar w:top="709" w:right="1440" w:bottom="1440" w:left="1440" w:header="720" w:footer="720" w:gutter="0"/>
      <w:pgNumType w:start="1"/>
      <w:cols w:num="2"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B6" w:rsidRDefault="000D1BB6" w:rsidP="003C7A50">
      <w:pPr>
        <w:spacing w:after="0" w:line="240" w:lineRule="auto"/>
      </w:pPr>
      <w:r>
        <w:separator/>
      </w:r>
    </w:p>
  </w:endnote>
  <w:endnote w:type="continuationSeparator" w:id="0">
    <w:p w:rsidR="000D1BB6" w:rsidRDefault="000D1BB6" w:rsidP="003C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7" w:rsidRPr="00BF65A7" w:rsidRDefault="00BF65A7" w:rsidP="00BF65A7">
    <w:pPr>
      <w:pStyle w:val="Footer"/>
      <w:jc w:val="center"/>
      <w:rPr>
        <w:rFonts w:asciiTheme="majorBidi" w:hAnsiTheme="majorBidi" w:cstheme="majorBidi"/>
      </w:rPr>
    </w:pPr>
    <w:r w:rsidRPr="00BF65A7">
      <w:rPr>
        <w:rFonts w:asciiTheme="majorBidi" w:hAnsiTheme="majorBidi" w:cstheme="majorBidi"/>
      </w:rPr>
      <w:t>July-August</w:t>
    </w:r>
  </w:p>
  <w:p w:rsidR="00BF65A7" w:rsidRDefault="00BF6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7" w:rsidRPr="00BF65A7" w:rsidRDefault="00BF65A7" w:rsidP="00BF65A7">
    <w:pPr>
      <w:pStyle w:val="Footer"/>
      <w:jc w:val="center"/>
      <w:rPr>
        <w:rFonts w:asciiTheme="majorBidi" w:hAnsiTheme="majorBidi" w:cstheme="majorBidi"/>
      </w:rPr>
    </w:pPr>
    <w:r w:rsidRPr="00BF65A7">
      <w:rPr>
        <w:rFonts w:asciiTheme="majorBidi" w:hAnsiTheme="majorBidi" w:cstheme="majorBidi"/>
      </w:rP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7" w:rsidRDefault="00BF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B6" w:rsidRDefault="000D1BB6" w:rsidP="003C7A50">
      <w:pPr>
        <w:spacing w:after="0" w:line="240" w:lineRule="auto"/>
      </w:pPr>
      <w:r>
        <w:separator/>
      </w:r>
    </w:p>
  </w:footnote>
  <w:footnote w:type="continuationSeparator" w:id="0">
    <w:p w:rsidR="000D1BB6" w:rsidRDefault="000D1BB6" w:rsidP="003C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7" w:rsidRPr="00BF65A7" w:rsidRDefault="00BF65A7" w:rsidP="00836B5F">
    <w:pPr>
      <w:tabs>
        <w:tab w:val="center" w:pos="5040"/>
        <w:tab w:val="right" w:pos="10080"/>
      </w:tabs>
      <w:spacing w:after="0" w:line="240" w:lineRule="auto"/>
      <w:rPr>
        <w:rFonts w:ascii="Times New Roman" w:hAnsi="Times New Roman"/>
        <w:noProof/>
        <w:sz w:val="18"/>
        <w:szCs w:val="18"/>
      </w:rPr>
    </w:pP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D41EEA">
      <w:rPr>
        <w:rFonts w:ascii="Times New Roman" w:hAnsi="Times New Roman"/>
        <w:noProof/>
        <w:sz w:val="18"/>
        <w:szCs w:val="18"/>
      </w:rPr>
      <w:t>3840</w:t>
    </w:r>
    <w:r>
      <w:rPr>
        <w:rFonts w:ascii="Times New Roman" w:hAnsi="Times New Roman"/>
        <w:noProof/>
        <w:sz w:val="18"/>
        <w:szCs w:val="18"/>
      </w:rPr>
      <w:fldChar w:fldCharType="end"/>
    </w:r>
    <w:r>
      <w:rPr>
        <w:rFonts w:ascii="Times New Roman" w:hAnsi="Times New Roman"/>
        <w:sz w:val="18"/>
        <w:szCs w:val="18"/>
      </w:rPr>
      <w:tab/>
      <w:t>ISSN 1013-5316;CODEN: SINTE 8</w:t>
    </w:r>
    <w:r>
      <w:rPr>
        <w:rFonts w:ascii="Times New Roman" w:hAnsi="Times New Roman"/>
        <w:sz w:val="18"/>
        <w:szCs w:val="18"/>
      </w:rPr>
      <w:tab/>
    </w:r>
    <w:r w:rsidR="00692DA5">
      <w:rPr>
        <w:rFonts w:ascii="Times New Roman" w:hAnsi="Times New Roman"/>
        <w:sz w:val="18"/>
        <w:szCs w:val="18"/>
      </w:rPr>
      <w:t>Sci.Int.(Lahore),28(4),3837-384</w:t>
    </w:r>
    <w:r w:rsidR="00836B5F">
      <w:rPr>
        <w:rFonts w:ascii="Times New Roman" w:hAnsi="Times New Roman"/>
        <w:sz w:val="18"/>
        <w:szCs w:val="18"/>
      </w:rPr>
      <w:t>0</w:t>
    </w:r>
    <w:r w:rsidR="00692DA5">
      <w:rPr>
        <w:rFonts w:ascii="Times New Roman" w:hAnsi="Times New Roman"/>
        <w:sz w:val="18"/>
        <w:szCs w:val="18"/>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7" w:rsidRPr="00BF65A7" w:rsidRDefault="00BF65A7" w:rsidP="00836B5F">
    <w:pPr>
      <w:tabs>
        <w:tab w:val="center" w:pos="5040"/>
        <w:tab w:val="right" w:pos="10080"/>
      </w:tabs>
      <w:spacing w:after="0" w:line="240" w:lineRule="auto"/>
      <w:rPr>
        <w:rFonts w:ascii="Times New Roman" w:hAnsi="Times New Roman"/>
        <w:noProof/>
        <w:sz w:val="18"/>
        <w:szCs w:val="18"/>
      </w:rPr>
    </w:pPr>
    <w:r>
      <w:rPr>
        <w:rFonts w:ascii="Times New Roman" w:hAnsi="Times New Roman"/>
        <w:sz w:val="18"/>
        <w:szCs w:val="18"/>
      </w:rPr>
      <w:t>Sci.Int.(Lahore),28(4),</w:t>
    </w:r>
    <w:r>
      <w:rPr>
        <w:rFonts w:ascii="Times New Roman" w:hAnsi="Times New Roman"/>
        <w:sz w:val="18"/>
        <w:szCs w:val="18"/>
      </w:rPr>
      <w:t>3837-384</w:t>
    </w:r>
    <w:r w:rsidR="00836B5F">
      <w:rPr>
        <w:rFonts w:ascii="Times New Roman" w:hAnsi="Times New Roman"/>
        <w:sz w:val="18"/>
        <w:szCs w:val="18"/>
      </w:rPr>
      <w:t>0</w:t>
    </w:r>
    <w:r>
      <w:rPr>
        <w:rFonts w:ascii="Times New Roman" w:hAnsi="Times New Roman"/>
        <w:sz w:val="18"/>
        <w:szCs w:val="18"/>
      </w:rPr>
      <w:t xml:space="preserve"> ,2016</w:t>
    </w:r>
    <w:r>
      <w:rPr>
        <w:rFonts w:ascii="Times New Roman" w:hAnsi="Times New Roman"/>
        <w:sz w:val="18"/>
        <w:szCs w:val="18"/>
      </w:rPr>
      <w:tab/>
      <w:t>ISSN 1013-5316;CODEN: SINTE 8</w:t>
    </w:r>
    <w:r>
      <w:rPr>
        <w:rFonts w:ascii="Times New Roman" w:hAnsi="Times New Roman"/>
        <w:sz w:val="18"/>
        <w:szCs w:val="18"/>
      </w:rPr>
      <w:tab/>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0D1BB6">
      <w:rPr>
        <w:rFonts w:ascii="Times New Roman" w:hAnsi="Times New Roman"/>
        <w:noProof/>
        <w:sz w:val="18"/>
        <w:szCs w:val="18"/>
      </w:rPr>
      <w:t>3837</w:t>
    </w:r>
    <w:r>
      <w:rPr>
        <w:rFonts w:ascii="Times New Roman" w:hAnsi="Times New Roman"/>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A7" w:rsidRDefault="00BF6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C85"/>
    <w:multiLevelType w:val="hybridMultilevel"/>
    <w:tmpl w:val="E14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C0D57"/>
    <w:multiLevelType w:val="hybridMultilevel"/>
    <w:tmpl w:val="E6480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431FD3"/>
    <w:multiLevelType w:val="multilevel"/>
    <w:tmpl w:val="5BDEADAC"/>
    <w:lvl w:ilvl="0">
      <w:start w:val="1"/>
      <w:numFmt w:val="decimal"/>
      <w:lvlText w:val="%1."/>
      <w:lvlJc w:val="left"/>
      <w:pPr>
        <w:ind w:left="927" w:hanging="360"/>
      </w:pPr>
      <w:rPr>
        <w:rFonts w:hint="default"/>
      </w:rPr>
    </w:lvl>
    <w:lvl w:ilvl="1">
      <w:start w:val="4"/>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652337B"/>
    <w:multiLevelType w:val="hybridMultilevel"/>
    <w:tmpl w:val="67520E08"/>
    <w:lvl w:ilvl="0" w:tplc="8508F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E66701"/>
    <w:multiLevelType w:val="multilevel"/>
    <w:tmpl w:val="D3BA203C"/>
    <w:lvl w:ilvl="0">
      <w:start w:val="2"/>
      <w:numFmt w:val="decimal"/>
      <w:lvlText w:val="%1"/>
      <w:lvlJc w:val="left"/>
      <w:pPr>
        <w:ind w:left="360" w:hanging="360"/>
      </w:pPr>
      <w:rPr>
        <w:rFonts w:hint="default"/>
        <w:i/>
      </w:rPr>
    </w:lvl>
    <w:lvl w:ilvl="1">
      <w:start w:val="2"/>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nsid w:val="45005F57"/>
    <w:multiLevelType w:val="multilevel"/>
    <w:tmpl w:val="D152C79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5646002"/>
    <w:multiLevelType w:val="hybridMultilevel"/>
    <w:tmpl w:val="0946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91814"/>
    <w:multiLevelType w:val="multilevel"/>
    <w:tmpl w:val="B91E2848"/>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F1225B"/>
    <w:multiLevelType w:val="multilevel"/>
    <w:tmpl w:val="515C874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78243A"/>
    <w:multiLevelType w:val="hybridMultilevel"/>
    <w:tmpl w:val="D9A6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C94403"/>
    <w:multiLevelType w:val="hybridMultilevel"/>
    <w:tmpl w:val="BD645AB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10"/>
  </w:num>
  <w:num w:numId="5">
    <w:abstractNumId w:val="3"/>
  </w:num>
  <w:num w:numId="6">
    <w:abstractNumId w:val="1"/>
  </w:num>
  <w:num w:numId="7">
    <w:abstractNumId w:val="9"/>
  </w:num>
  <w:num w:numId="8">
    <w:abstractNumId w:val="6"/>
  </w:num>
  <w:num w:numId="9">
    <w:abstractNumId w:val="8"/>
  </w:num>
  <w:num w:numId="10">
    <w:abstractNumId w:val="5"/>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hideSpellingErrors/>
  <w:hideGrammaticalErrors/>
  <w:defaultTabStop w:val="720"/>
  <w:evenAndOddHeaders/>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62"/>
    <w:rsid w:val="00000C6F"/>
    <w:rsid w:val="00002171"/>
    <w:rsid w:val="00002E62"/>
    <w:rsid w:val="0000345B"/>
    <w:rsid w:val="00004038"/>
    <w:rsid w:val="00007603"/>
    <w:rsid w:val="00007834"/>
    <w:rsid w:val="00014D92"/>
    <w:rsid w:val="00015769"/>
    <w:rsid w:val="00015B13"/>
    <w:rsid w:val="0001630E"/>
    <w:rsid w:val="00017FF4"/>
    <w:rsid w:val="00020EFC"/>
    <w:rsid w:val="00022A51"/>
    <w:rsid w:val="000245F6"/>
    <w:rsid w:val="00025C6A"/>
    <w:rsid w:val="00025EB6"/>
    <w:rsid w:val="00025F19"/>
    <w:rsid w:val="00026A9D"/>
    <w:rsid w:val="00026AE0"/>
    <w:rsid w:val="000302D8"/>
    <w:rsid w:val="00031703"/>
    <w:rsid w:val="00034940"/>
    <w:rsid w:val="00036A98"/>
    <w:rsid w:val="0003792A"/>
    <w:rsid w:val="00043732"/>
    <w:rsid w:val="00046278"/>
    <w:rsid w:val="00046635"/>
    <w:rsid w:val="00050B30"/>
    <w:rsid w:val="000528FA"/>
    <w:rsid w:val="00052D29"/>
    <w:rsid w:val="00055B06"/>
    <w:rsid w:val="00057686"/>
    <w:rsid w:val="0006127B"/>
    <w:rsid w:val="0006127F"/>
    <w:rsid w:val="000613A1"/>
    <w:rsid w:val="00063454"/>
    <w:rsid w:val="000640C8"/>
    <w:rsid w:val="0006754F"/>
    <w:rsid w:val="000706F3"/>
    <w:rsid w:val="00072478"/>
    <w:rsid w:val="000724A6"/>
    <w:rsid w:val="0007465D"/>
    <w:rsid w:val="00074735"/>
    <w:rsid w:val="00075116"/>
    <w:rsid w:val="000765C3"/>
    <w:rsid w:val="0007779B"/>
    <w:rsid w:val="000801E4"/>
    <w:rsid w:val="000814D9"/>
    <w:rsid w:val="00081AC3"/>
    <w:rsid w:val="00084C6C"/>
    <w:rsid w:val="000855C4"/>
    <w:rsid w:val="00085DD3"/>
    <w:rsid w:val="00086D38"/>
    <w:rsid w:val="00087BCB"/>
    <w:rsid w:val="0009210E"/>
    <w:rsid w:val="0009211C"/>
    <w:rsid w:val="000928C6"/>
    <w:rsid w:val="00093A65"/>
    <w:rsid w:val="00093F9A"/>
    <w:rsid w:val="00094832"/>
    <w:rsid w:val="000966F3"/>
    <w:rsid w:val="000A00FE"/>
    <w:rsid w:val="000A14A1"/>
    <w:rsid w:val="000A1E2E"/>
    <w:rsid w:val="000A2ADB"/>
    <w:rsid w:val="000A3C4E"/>
    <w:rsid w:val="000A461D"/>
    <w:rsid w:val="000A6C2D"/>
    <w:rsid w:val="000A77C2"/>
    <w:rsid w:val="000A7C6B"/>
    <w:rsid w:val="000B14EE"/>
    <w:rsid w:val="000B3BAE"/>
    <w:rsid w:val="000B6420"/>
    <w:rsid w:val="000B69CA"/>
    <w:rsid w:val="000C127A"/>
    <w:rsid w:val="000C154A"/>
    <w:rsid w:val="000C42F0"/>
    <w:rsid w:val="000C4B7F"/>
    <w:rsid w:val="000C6391"/>
    <w:rsid w:val="000C7B34"/>
    <w:rsid w:val="000D1511"/>
    <w:rsid w:val="000D1BB6"/>
    <w:rsid w:val="000D215F"/>
    <w:rsid w:val="000D40A7"/>
    <w:rsid w:val="000D4148"/>
    <w:rsid w:val="000D48ED"/>
    <w:rsid w:val="000D4AB4"/>
    <w:rsid w:val="000D572B"/>
    <w:rsid w:val="000D5ABC"/>
    <w:rsid w:val="000D7C05"/>
    <w:rsid w:val="000E0639"/>
    <w:rsid w:val="000E1A04"/>
    <w:rsid w:val="000E2C01"/>
    <w:rsid w:val="000E5252"/>
    <w:rsid w:val="000E56EF"/>
    <w:rsid w:val="000E6BE9"/>
    <w:rsid w:val="000E7663"/>
    <w:rsid w:val="000E7DF7"/>
    <w:rsid w:val="000F0737"/>
    <w:rsid w:val="000F0FF7"/>
    <w:rsid w:val="000F248A"/>
    <w:rsid w:val="000F2BA1"/>
    <w:rsid w:val="000F39EC"/>
    <w:rsid w:val="000F4F81"/>
    <w:rsid w:val="000F77DB"/>
    <w:rsid w:val="00103137"/>
    <w:rsid w:val="00103D24"/>
    <w:rsid w:val="00104476"/>
    <w:rsid w:val="001069F9"/>
    <w:rsid w:val="00112229"/>
    <w:rsid w:val="00115A36"/>
    <w:rsid w:val="00120CA6"/>
    <w:rsid w:val="00120CF0"/>
    <w:rsid w:val="001269E2"/>
    <w:rsid w:val="001270FC"/>
    <w:rsid w:val="00127465"/>
    <w:rsid w:val="00127771"/>
    <w:rsid w:val="00127814"/>
    <w:rsid w:val="00127ABF"/>
    <w:rsid w:val="00127CF0"/>
    <w:rsid w:val="00131FE5"/>
    <w:rsid w:val="001416EA"/>
    <w:rsid w:val="00141AA5"/>
    <w:rsid w:val="00143CC1"/>
    <w:rsid w:val="00145F41"/>
    <w:rsid w:val="0014717A"/>
    <w:rsid w:val="00147E18"/>
    <w:rsid w:val="00151A8C"/>
    <w:rsid w:val="00154194"/>
    <w:rsid w:val="00155382"/>
    <w:rsid w:val="00156BEB"/>
    <w:rsid w:val="00156C84"/>
    <w:rsid w:val="00157BF4"/>
    <w:rsid w:val="00161121"/>
    <w:rsid w:val="001631E6"/>
    <w:rsid w:val="00163A06"/>
    <w:rsid w:val="00163FA4"/>
    <w:rsid w:val="001641B5"/>
    <w:rsid w:val="00164C1C"/>
    <w:rsid w:val="00165E7C"/>
    <w:rsid w:val="00167E9C"/>
    <w:rsid w:val="001705E2"/>
    <w:rsid w:val="00170D5A"/>
    <w:rsid w:val="001719C0"/>
    <w:rsid w:val="00173E66"/>
    <w:rsid w:val="001741AA"/>
    <w:rsid w:val="00176429"/>
    <w:rsid w:val="0017793A"/>
    <w:rsid w:val="00181C18"/>
    <w:rsid w:val="00182BD1"/>
    <w:rsid w:val="00184982"/>
    <w:rsid w:val="0018601E"/>
    <w:rsid w:val="001927DD"/>
    <w:rsid w:val="00193653"/>
    <w:rsid w:val="0019454E"/>
    <w:rsid w:val="001963E9"/>
    <w:rsid w:val="00196C44"/>
    <w:rsid w:val="001973C4"/>
    <w:rsid w:val="00197DAD"/>
    <w:rsid w:val="001A1A18"/>
    <w:rsid w:val="001A53D8"/>
    <w:rsid w:val="001A6905"/>
    <w:rsid w:val="001A6D3B"/>
    <w:rsid w:val="001B0249"/>
    <w:rsid w:val="001B04E7"/>
    <w:rsid w:val="001B09B4"/>
    <w:rsid w:val="001B09F0"/>
    <w:rsid w:val="001B2EB4"/>
    <w:rsid w:val="001B306B"/>
    <w:rsid w:val="001B36BF"/>
    <w:rsid w:val="001B631B"/>
    <w:rsid w:val="001C1F18"/>
    <w:rsid w:val="001C2872"/>
    <w:rsid w:val="001C38F1"/>
    <w:rsid w:val="001C4AAD"/>
    <w:rsid w:val="001C6BBC"/>
    <w:rsid w:val="001C6DC3"/>
    <w:rsid w:val="001C71D5"/>
    <w:rsid w:val="001D20BE"/>
    <w:rsid w:val="001D3F99"/>
    <w:rsid w:val="001D4C8B"/>
    <w:rsid w:val="001D4E29"/>
    <w:rsid w:val="001D4F0E"/>
    <w:rsid w:val="001D4FA6"/>
    <w:rsid w:val="001E2875"/>
    <w:rsid w:val="001E3107"/>
    <w:rsid w:val="001E5B75"/>
    <w:rsid w:val="001E6FFC"/>
    <w:rsid w:val="001E728F"/>
    <w:rsid w:val="001F0209"/>
    <w:rsid w:val="001F2967"/>
    <w:rsid w:val="001F67FA"/>
    <w:rsid w:val="00202F16"/>
    <w:rsid w:val="0020674A"/>
    <w:rsid w:val="0020748B"/>
    <w:rsid w:val="00207B7A"/>
    <w:rsid w:val="002121EA"/>
    <w:rsid w:val="0021257F"/>
    <w:rsid w:val="002157C1"/>
    <w:rsid w:val="002220F0"/>
    <w:rsid w:val="00222886"/>
    <w:rsid w:val="002249B5"/>
    <w:rsid w:val="00224F97"/>
    <w:rsid w:val="00225517"/>
    <w:rsid w:val="00226F0A"/>
    <w:rsid w:val="00227527"/>
    <w:rsid w:val="00233CD9"/>
    <w:rsid w:val="00234B22"/>
    <w:rsid w:val="002351B9"/>
    <w:rsid w:val="002412EC"/>
    <w:rsid w:val="002415DC"/>
    <w:rsid w:val="00243365"/>
    <w:rsid w:val="00243C86"/>
    <w:rsid w:val="00244845"/>
    <w:rsid w:val="00245FD2"/>
    <w:rsid w:val="002461F5"/>
    <w:rsid w:val="00250416"/>
    <w:rsid w:val="00250AB6"/>
    <w:rsid w:val="00251026"/>
    <w:rsid w:val="0025293E"/>
    <w:rsid w:val="00254632"/>
    <w:rsid w:val="002577E9"/>
    <w:rsid w:val="00257A11"/>
    <w:rsid w:val="00257F13"/>
    <w:rsid w:val="0026320E"/>
    <w:rsid w:val="00263D26"/>
    <w:rsid w:val="00263DC5"/>
    <w:rsid w:val="00265075"/>
    <w:rsid w:val="00266421"/>
    <w:rsid w:val="002669A8"/>
    <w:rsid w:val="00266D5E"/>
    <w:rsid w:val="00270A2E"/>
    <w:rsid w:val="002732A6"/>
    <w:rsid w:val="002763D5"/>
    <w:rsid w:val="00281747"/>
    <w:rsid w:val="0028718C"/>
    <w:rsid w:val="002907D8"/>
    <w:rsid w:val="00290BD3"/>
    <w:rsid w:val="002914C2"/>
    <w:rsid w:val="00292FFE"/>
    <w:rsid w:val="002944D2"/>
    <w:rsid w:val="00295913"/>
    <w:rsid w:val="002968DB"/>
    <w:rsid w:val="0029780E"/>
    <w:rsid w:val="002A0983"/>
    <w:rsid w:val="002A167F"/>
    <w:rsid w:val="002A1890"/>
    <w:rsid w:val="002A1FDD"/>
    <w:rsid w:val="002A268C"/>
    <w:rsid w:val="002A4C28"/>
    <w:rsid w:val="002A5FCB"/>
    <w:rsid w:val="002A75B6"/>
    <w:rsid w:val="002A787A"/>
    <w:rsid w:val="002B244E"/>
    <w:rsid w:val="002B4E37"/>
    <w:rsid w:val="002B5754"/>
    <w:rsid w:val="002B5C3B"/>
    <w:rsid w:val="002B6DFB"/>
    <w:rsid w:val="002B72F3"/>
    <w:rsid w:val="002C0B45"/>
    <w:rsid w:val="002C0BF7"/>
    <w:rsid w:val="002C1245"/>
    <w:rsid w:val="002C22BF"/>
    <w:rsid w:val="002C3313"/>
    <w:rsid w:val="002C3556"/>
    <w:rsid w:val="002C3C8F"/>
    <w:rsid w:val="002C4E6D"/>
    <w:rsid w:val="002C7456"/>
    <w:rsid w:val="002C77E2"/>
    <w:rsid w:val="002D276A"/>
    <w:rsid w:val="002D34CF"/>
    <w:rsid w:val="002D37A2"/>
    <w:rsid w:val="002D49E3"/>
    <w:rsid w:val="002D5CA4"/>
    <w:rsid w:val="002D5FF1"/>
    <w:rsid w:val="002D6D31"/>
    <w:rsid w:val="002D6F8D"/>
    <w:rsid w:val="002E000A"/>
    <w:rsid w:val="002E1171"/>
    <w:rsid w:val="002E37A8"/>
    <w:rsid w:val="002E38B6"/>
    <w:rsid w:val="002E4C0A"/>
    <w:rsid w:val="002E4E3A"/>
    <w:rsid w:val="002E5AEB"/>
    <w:rsid w:val="002F1D9F"/>
    <w:rsid w:val="002F292D"/>
    <w:rsid w:val="002F3395"/>
    <w:rsid w:val="002F4461"/>
    <w:rsid w:val="002F5B6F"/>
    <w:rsid w:val="002F5B9F"/>
    <w:rsid w:val="003039AF"/>
    <w:rsid w:val="00304756"/>
    <w:rsid w:val="00307191"/>
    <w:rsid w:val="00307811"/>
    <w:rsid w:val="00310218"/>
    <w:rsid w:val="003108AA"/>
    <w:rsid w:val="00311BD4"/>
    <w:rsid w:val="0032038C"/>
    <w:rsid w:val="00324EBC"/>
    <w:rsid w:val="003274B7"/>
    <w:rsid w:val="00327F13"/>
    <w:rsid w:val="00330EE2"/>
    <w:rsid w:val="0033632A"/>
    <w:rsid w:val="003368B3"/>
    <w:rsid w:val="00336DAA"/>
    <w:rsid w:val="0033744F"/>
    <w:rsid w:val="00341527"/>
    <w:rsid w:val="00345E39"/>
    <w:rsid w:val="00346090"/>
    <w:rsid w:val="00346D28"/>
    <w:rsid w:val="003478AD"/>
    <w:rsid w:val="0035037E"/>
    <w:rsid w:val="00350C28"/>
    <w:rsid w:val="00350CF1"/>
    <w:rsid w:val="0035120B"/>
    <w:rsid w:val="00351C11"/>
    <w:rsid w:val="00352900"/>
    <w:rsid w:val="00352EFE"/>
    <w:rsid w:val="00355730"/>
    <w:rsid w:val="00355742"/>
    <w:rsid w:val="00360349"/>
    <w:rsid w:val="00360BB7"/>
    <w:rsid w:val="00361A05"/>
    <w:rsid w:val="00365531"/>
    <w:rsid w:val="00370F7E"/>
    <w:rsid w:val="0037169C"/>
    <w:rsid w:val="0037205C"/>
    <w:rsid w:val="00374189"/>
    <w:rsid w:val="00375DE6"/>
    <w:rsid w:val="0038163E"/>
    <w:rsid w:val="00381A75"/>
    <w:rsid w:val="00382076"/>
    <w:rsid w:val="0038382A"/>
    <w:rsid w:val="00384661"/>
    <w:rsid w:val="003863C7"/>
    <w:rsid w:val="003866BB"/>
    <w:rsid w:val="00386803"/>
    <w:rsid w:val="00387CB2"/>
    <w:rsid w:val="0039169F"/>
    <w:rsid w:val="003917B4"/>
    <w:rsid w:val="00393F4A"/>
    <w:rsid w:val="00395389"/>
    <w:rsid w:val="0039584E"/>
    <w:rsid w:val="00396157"/>
    <w:rsid w:val="0039625C"/>
    <w:rsid w:val="00397BD9"/>
    <w:rsid w:val="003A10E2"/>
    <w:rsid w:val="003A2A3C"/>
    <w:rsid w:val="003A4956"/>
    <w:rsid w:val="003A7A87"/>
    <w:rsid w:val="003A7CFE"/>
    <w:rsid w:val="003B2F34"/>
    <w:rsid w:val="003C0AD8"/>
    <w:rsid w:val="003C0F42"/>
    <w:rsid w:val="003C184C"/>
    <w:rsid w:val="003C7876"/>
    <w:rsid w:val="003C78E0"/>
    <w:rsid w:val="003C7A50"/>
    <w:rsid w:val="003D1500"/>
    <w:rsid w:val="003D4FC6"/>
    <w:rsid w:val="003D76F7"/>
    <w:rsid w:val="003E22A1"/>
    <w:rsid w:val="003E23D6"/>
    <w:rsid w:val="003E5111"/>
    <w:rsid w:val="003E58DD"/>
    <w:rsid w:val="003E5E45"/>
    <w:rsid w:val="003F0FC9"/>
    <w:rsid w:val="003F1D40"/>
    <w:rsid w:val="003F24C3"/>
    <w:rsid w:val="003F2BE5"/>
    <w:rsid w:val="003F2F69"/>
    <w:rsid w:val="00402BCB"/>
    <w:rsid w:val="00403696"/>
    <w:rsid w:val="004042E2"/>
    <w:rsid w:val="00404EA0"/>
    <w:rsid w:val="00405731"/>
    <w:rsid w:val="00410FF4"/>
    <w:rsid w:val="004128F4"/>
    <w:rsid w:val="00421229"/>
    <w:rsid w:val="00421F12"/>
    <w:rsid w:val="00422FF7"/>
    <w:rsid w:val="00423A07"/>
    <w:rsid w:val="0042431C"/>
    <w:rsid w:val="004264DC"/>
    <w:rsid w:val="00426D7C"/>
    <w:rsid w:val="0042712D"/>
    <w:rsid w:val="0042748B"/>
    <w:rsid w:val="004275E8"/>
    <w:rsid w:val="00431D7A"/>
    <w:rsid w:val="00431D80"/>
    <w:rsid w:val="00431FED"/>
    <w:rsid w:val="00432F31"/>
    <w:rsid w:val="00432FAC"/>
    <w:rsid w:val="00433B21"/>
    <w:rsid w:val="004340FD"/>
    <w:rsid w:val="00434527"/>
    <w:rsid w:val="00436692"/>
    <w:rsid w:val="00437406"/>
    <w:rsid w:val="004409FD"/>
    <w:rsid w:val="00440C18"/>
    <w:rsid w:val="00441E31"/>
    <w:rsid w:val="00443461"/>
    <w:rsid w:val="00443481"/>
    <w:rsid w:val="00444EC3"/>
    <w:rsid w:val="00445F22"/>
    <w:rsid w:val="00447EEF"/>
    <w:rsid w:val="00450A64"/>
    <w:rsid w:val="00455238"/>
    <w:rsid w:val="0045572B"/>
    <w:rsid w:val="004614FB"/>
    <w:rsid w:val="00461674"/>
    <w:rsid w:val="00464430"/>
    <w:rsid w:val="00465430"/>
    <w:rsid w:val="004658B1"/>
    <w:rsid w:val="00466BBD"/>
    <w:rsid w:val="00471906"/>
    <w:rsid w:val="00471F2A"/>
    <w:rsid w:val="004736F0"/>
    <w:rsid w:val="00475B77"/>
    <w:rsid w:val="0048257B"/>
    <w:rsid w:val="00487D6D"/>
    <w:rsid w:val="004946D6"/>
    <w:rsid w:val="004947D0"/>
    <w:rsid w:val="00495FD7"/>
    <w:rsid w:val="00496551"/>
    <w:rsid w:val="004A1089"/>
    <w:rsid w:val="004A13DA"/>
    <w:rsid w:val="004A188C"/>
    <w:rsid w:val="004A33D4"/>
    <w:rsid w:val="004A4EB0"/>
    <w:rsid w:val="004A74E8"/>
    <w:rsid w:val="004B66EA"/>
    <w:rsid w:val="004C0AFE"/>
    <w:rsid w:val="004C1C58"/>
    <w:rsid w:val="004C7114"/>
    <w:rsid w:val="004C76C1"/>
    <w:rsid w:val="004D07BB"/>
    <w:rsid w:val="004D4063"/>
    <w:rsid w:val="004D409B"/>
    <w:rsid w:val="004D5199"/>
    <w:rsid w:val="004D6100"/>
    <w:rsid w:val="004D6615"/>
    <w:rsid w:val="004D69B8"/>
    <w:rsid w:val="004D7A38"/>
    <w:rsid w:val="004E4480"/>
    <w:rsid w:val="004E48DC"/>
    <w:rsid w:val="004E4BB8"/>
    <w:rsid w:val="004E4CB5"/>
    <w:rsid w:val="004E7803"/>
    <w:rsid w:val="004F0E34"/>
    <w:rsid w:val="004F0F0F"/>
    <w:rsid w:val="004F1567"/>
    <w:rsid w:val="004F3CE9"/>
    <w:rsid w:val="004F416F"/>
    <w:rsid w:val="004F66AA"/>
    <w:rsid w:val="00500A20"/>
    <w:rsid w:val="00501940"/>
    <w:rsid w:val="005025F2"/>
    <w:rsid w:val="00505C8F"/>
    <w:rsid w:val="005066F8"/>
    <w:rsid w:val="00506847"/>
    <w:rsid w:val="00506DFF"/>
    <w:rsid w:val="005070ED"/>
    <w:rsid w:val="005079B7"/>
    <w:rsid w:val="005106F9"/>
    <w:rsid w:val="00510C43"/>
    <w:rsid w:val="00512AEA"/>
    <w:rsid w:val="00512F2F"/>
    <w:rsid w:val="00512F5F"/>
    <w:rsid w:val="00513FA6"/>
    <w:rsid w:val="00514DFB"/>
    <w:rsid w:val="00516F96"/>
    <w:rsid w:val="00520455"/>
    <w:rsid w:val="005224BD"/>
    <w:rsid w:val="0052574E"/>
    <w:rsid w:val="0052615E"/>
    <w:rsid w:val="00526164"/>
    <w:rsid w:val="0052725F"/>
    <w:rsid w:val="005307EC"/>
    <w:rsid w:val="0053274F"/>
    <w:rsid w:val="00532C04"/>
    <w:rsid w:val="00533F2E"/>
    <w:rsid w:val="00537522"/>
    <w:rsid w:val="00537794"/>
    <w:rsid w:val="005379FE"/>
    <w:rsid w:val="00541864"/>
    <w:rsid w:val="0054389F"/>
    <w:rsid w:val="005477FA"/>
    <w:rsid w:val="00547EB7"/>
    <w:rsid w:val="00552DFA"/>
    <w:rsid w:val="00552F0A"/>
    <w:rsid w:val="00555A04"/>
    <w:rsid w:val="00555E4B"/>
    <w:rsid w:val="00555F03"/>
    <w:rsid w:val="0055742F"/>
    <w:rsid w:val="005574AC"/>
    <w:rsid w:val="00557711"/>
    <w:rsid w:val="005600D4"/>
    <w:rsid w:val="00561165"/>
    <w:rsid w:val="00561500"/>
    <w:rsid w:val="0056335E"/>
    <w:rsid w:val="005639F3"/>
    <w:rsid w:val="0056556B"/>
    <w:rsid w:val="0057200F"/>
    <w:rsid w:val="005741FD"/>
    <w:rsid w:val="00574A5E"/>
    <w:rsid w:val="00575047"/>
    <w:rsid w:val="00576AD5"/>
    <w:rsid w:val="00576CF1"/>
    <w:rsid w:val="00580E11"/>
    <w:rsid w:val="005810F0"/>
    <w:rsid w:val="00584176"/>
    <w:rsid w:val="00584208"/>
    <w:rsid w:val="005845AA"/>
    <w:rsid w:val="005925EE"/>
    <w:rsid w:val="00592E6C"/>
    <w:rsid w:val="00595B82"/>
    <w:rsid w:val="00597F62"/>
    <w:rsid w:val="005A3CEB"/>
    <w:rsid w:val="005A4A5A"/>
    <w:rsid w:val="005A61C8"/>
    <w:rsid w:val="005B0A17"/>
    <w:rsid w:val="005B15EA"/>
    <w:rsid w:val="005B2DF0"/>
    <w:rsid w:val="005B4E21"/>
    <w:rsid w:val="005B7B45"/>
    <w:rsid w:val="005C1F47"/>
    <w:rsid w:val="005C25C5"/>
    <w:rsid w:val="005C7620"/>
    <w:rsid w:val="005C787F"/>
    <w:rsid w:val="005D1642"/>
    <w:rsid w:val="005D1654"/>
    <w:rsid w:val="005D2BE5"/>
    <w:rsid w:val="005D363A"/>
    <w:rsid w:val="005D4143"/>
    <w:rsid w:val="005D53BF"/>
    <w:rsid w:val="005D64CB"/>
    <w:rsid w:val="005D651A"/>
    <w:rsid w:val="005D751E"/>
    <w:rsid w:val="005D7DEA"/>
    <w:rsid w:val="005E22A0"/>
    <w:rsid w:val="005E3EEC"/>
    <w:rsid w:val="005E406A"/>
    <w:rsid w:val="005E6F73"/>
    <w:rsid w:val="005F00BE"/>
    <w:rsid w:val="005F25E2"/>
    <w:rsid w:val="005F2907"/>
    <w:rsid w:val="005F2AAA"/>
    <w:rsid w:val="005F3291"/>
    <w:rsid w:val="005F35CF"/>
    <w:rsid w:val="005F44C1"/>
    <w:rsid w:val="005F48C4"/>
    <w:rsid w:val="005F4E3D"/>
    <w:rsid w:val="005F62D5"/>
    <w:rsid w:val="005F7932"/>
    <w:rsid w:val="00600E5B"/>
    <w:rsid w:val="0060108E"/>
    <w:rsid w:val="00601CFE"/>
    <w:rsid w:val="00601E32"/>
    <w:rsid w:val="006027A4"/>
    <w:rsid w:val="00603486"/>
    <w:rsid w:val="00604C27"/>
    <w:rsid w:val="00604F82"/>
    <w:rsid w:val="0060598B"/>
    <w:rsid w:val="00605D88"/>
    <w:rsid w:val="006066D6"/>
    <w:rsid w:val="00613963"/>
    <w:rsid w:val="00613A37"/>
    <w:rsid w:val="00614221"/>
    <w:rsid w:val="00614867"/>
    <w:rsid w:val="00615C46"/>
    <w:rsid w:val="006162BA"/>
    <w:rsid w:val="00616AD0"/>
    <w:rsid w:val="006176CC"/>
    <w:rsid w:val="00624282"/>
    <w:rsid w:val="006305C9"/>
    <w:rsid w:val="00630699"/>
    <w:rsid w:val="00630E65"/>
    <w:rsid w:val="0063167D"/>
    <w:rsid w:val="00631FFB"/>
    <w:rsid w:val="0063378B"/>
    <w:rsid w:val="006355F8"/>
    <w:rsid w:val="00636061"/>
    <w:rsid w:val="00641DB1"/>
    <w:rsid w:val="00643435"/>
    <w:rsid w:val="00645105"/>
    <w:rsid w:val="0064785A"/>
    <w:rsid w:val="00650223"/>
    <w:rsid w:val="006526B8"/>
    <w:rsid w:val="006541B9"/>
    <w:rsid w:val="00655A43"/>
    <w:rsid w:val="0065601E"/>
    <w:rsid w:val="006568B8"/>
    <w:rsid w:val="00661AA9"/>
    <w:rsid w:val="00661B23"/>
    <w:rsid w:val="00662D8F"/>
    <w:rsid w:val="00663C73"/>
    <w:rsid w:val="006669D9"/>
    <w:rsid w:val="00672342"/>
    <w:rsid w:val="006729CB"/>
    <w:rsid w:val="00673EE7"/>
    <w:rsid w:val="00674B73"/>
    <w:rsid w:val="00674E58"/>
    <w:rsid w:val="00676BEC"/>
    <w:rsid w:val="006807BD"/>
    <w:rsid w:val="0068144A"/>
    <w:rsid w:val="00682726"/>
    <w:rsid w:val="006827EB"/>
    <w:rsid w:val="00684C4A"/>
    <w:rsid w:val="0068546F"/>
    <w:rsid w:val="00685D1A"/>
    <w:rsid w:val="00690146"/>
    <w:rsid w:val="00690DB7"/>
    <w:rsid w:val="006914CB"/>
    <w:rsid w:val="00692992"/>
    <w:rsid w:val="00692DA5"/>
    <w:rsid w:val="0069357B"/>
    <w:rsid w:val="00693D8E"/>
    <w:rsid w:val="00694E16"/>
    <w:rsid w:val="00695D8B"/>
    <w:rsid w:val="006960A0"/>
    <w:rsid w:val="00696681"/>
    <w:rsid w:val="00697443"/>
    <w:rsid w:val="006A1349"/>
    <w:rsid w:val="006A2A39"/>
    <w:rsid w:val="006A364D"/>
    <w:rsid w:val="006A37DD"/>
    <w:rsid w:val="006A3EC3"/>
    <w:rsid w:val="006A68F4"/>
    <w:rsid w:val="006B1327"/>
    <w:rsid w:val="006B167E"/>
    <w:rsid w:val="006B1E63"/>
    <w:rsid w:val="006B46B4"/>
    <w:rsid w:val="006B4BA2"/>
    <w:rsid w:val="006B53E5"/>
    <w:rsid w:val="006B548F"/>
    <w:rsid w:val="006C1BBF"/>
    <w:rsid w:val="006C1C46"/>
    <w:rsid w:val="006C2A23"/>
    <w:rsid w:val="006C2D25"/>
    <w:rsid w:val="006C2F7A"/>
    <w:rsid w:val="006C3A48"/>
    <w:rsid w:val="006C43FB"/>
    <w:rsid w:val="006C7057"/>
    <w:rsid w:val="006C7E83"/>
    <w:rsid w:val="006D204E"/>
    <w:rsid w:val="006D2C5C"/>
    <w:rsid w:val="006D3447"/>
    <w:rsid w:val="006D54BE"/>
    <w:rsid w:val="006D7A2B"/>
    <w:rsid w:val="006E1257"/>
    <w:rsid w:val="006E2229"/>
    <w:rsid w:val="006E235A"/>
    <w:rsid w:val="006E299E"/>
    <w:rsid w:val="006E4490"/>
    <w:rsid w:val="006E612F"/>
    <w:rsid w:val="006E675A"/>
    <w:rsid w:val="006F14EA"/>
    <w:rsid w:val="006F21A4"/>
    <w:rsid w:val="006F26B0"/>
    <w:rsid w:val="006F4417"/>
    <w:rsid w:val="006F4495"/>
    <w:rsid w:val="006F463E"/>
    <w:rsid w:val="006F4B33"/>
    <w:rsid w:val="006F4CB7"/>
    <w:rsid w:val="006F5337"/>
    <w:rsid w:val="006F5BF0"/>
    <w:rsid w:val="00706A69"/>
    <w:rsid w:val="00707000"/>
    <w:rsid w:val="00713542"/>
    <w:rsid w:val="00714CA8"/>
    <w:rsid w:val="00723965"/>
    <w:rsid w:val="007255DB"/>
    <w:rsid w:val="00727AE8"/>
    <w:rsid w:val="00727BB0"/>
    <w:rsid w:val="0073344D"/>
    <w:rsid w:val="00733806"/>
    <w:rsid w:val="00736BCA"/>
    <w:rsid w:val="00737908"/>
    <w:rsid w:val="007417C7"/>
    <w:rsid w:val="007428EE"/>
    <w:rsid w:val="00743524"/>
    <w:rsid w:val="0074384B"/>
    <w:rsid w:val="00744E10"/>
    <w:rsid w:val="00745099"/>
    <w:rsid w:val="007459D1"/>
    <w:rsid w:val="00751052"/>
    <w:rsid w:val="00751367"/>
    <w:rsid w:val="007558F3"/>
    <w:rsid w:val="007561F7"/>
    <w:rsid w:val="0075678E"/>
    <w:rsid w:val="00757E22"/>
    <w:rsid w:val="007636D7"/>
    <w:rsid w:val="0076507D"/>
    <w:rsid w:val="007659A2"/>
    <w:rsid w:val="00765A6A"/>
    <w:rsid w:val="00767C67"/>
    <w:rsid w:val="00772330"/>
    <w:rsid w:val="00773F8B"/>
    <w:rsid w:val="0078275E"/>
    <w:rsid w:val="0078335A"/>
    <w:rsid w:val="007854C9"/>
    <w:rsid w:val="00787FFC"/>
    <w:rsid w:val="007917B1"/>
    <w:rsid w:val="00791BDC"/>
    <w:rsid w:val="007937C3"/>
    <w:rsid w:val="00793C21"/>
    <w:rsid w:val="00795476"/>
    <w:rsid w:val="00795FE6"/>
    <w:rsid w:val="007961EC"/>
    <w:rsid w:val="007A00CE"/>
    <w:rsid w:val="007A0710"/>
    <w:rsid w:val="007A1180"/>
    <w:rsid w:val="007A1F00"/>
    <w:rsid w:val="007A23AD"/>
    <w:rsid w:val="007B0E10"/>
    <w:rsid w:val="007B0F7B"/>
    <w:rsid w:val="007B18C7"/>
    <w:rsid w:val="007B1D43"/>
    <w:rsid w:val="007B264F"/>
    <w:rsid w:val="007B29C9"/>
    <w:rsid w:val="007B790F"/>
    <w:rsid w:val="007C23D1"/>
    <w:rsid w:val="007C2640"/>
    <w:rsid w:val="007C3256"/>
    <w:rsid w:val="007C3E75"/>
    <w:rsid w:val="007C4870"/>
    <w:rsid w:val="007C6B7B"/>
    <w:rsid w:val="007C7EC4"/>
    <w:rsid w:val="007D1761"/>
    <w:rsid w:val="007D5A02"/>
    <w:rsid w:val="007D6DE5"/>
    <w:rsid w:val="007D728B"/>
    <w:rsid w:val="007D7E2A"/>
    <w:rsid w:val="007E1EF1"/>
    <w:rsid w:val="007E69FA"/>
    <w:rsid w:val="007E75E9"/>
    <w:rsid w:val="007E7B2B"/>
    <w:rsid w:val="007F1264"/>
    <w:rsid w:val="007F1F08"/>
    <w:rsid w:val="007F2874"/>
    <w:rsid w:val="007F33C1"/>
    <w:rsid w:val="007F344E"/>
    <w:rsid w:val="007F54DF"/>
    <w:rsid w:val="007F65C7"/>
    <w:rsid w:val="008052DB"/>
    <w:rsid w:val="008058AB"/>
    <w:rsid w:val="0080626D"/>
    <w:rsid w:val="0080699E"/>
    <w:rsid w:val="00812239"/>
    <w:rsid w:val="00812658"/>
    <w:rsid w:val="0081373F"/>
    <w:rsid w:val="0081404A"/>
    <w:rsid w:val="008217AF"/>
    <w:rsid w:val="00821C02"/>
    <w:rsid w:val="00822B49"/>
    <w:rsid w:val="00824D4E"/>
    <w:rsid w:val="00830C2A"/>
    <w:rsid w:val="0083193C"/>
    <w:rsid w:val="008323E5"/>
    <w:rsid w:val="0083263D"/>
    <w:rsid w:val="008363FD"/>
    <w:rsid w:val="00836B5F"/>
    <w:rsid w:val="00837308"/>
    <w:rsid w:val="00840121"/>
    <w:rsid w:val="008410DB"/>
    <w:rsid w:val="008413D2"/>
    <w:rsid w:val="00841D77"/>
    <w:rsid w:val="00841DB1"/>
    <w:rsid w:val="00843D04"/>
    <w:rsid w:val="008521D6"/>
    <w:rsid w:val="00852514"/>
    <w:rsid w:val="00854BB2"/>
    <w:rsid w:val="00855FDD"/>
    <w:rsid w:val="00860331"/>
    <w:rsid w:val="00860D97"/>
    <w:rsid w:val="0086360E"/>
    <w:rsid w:val="00871001"/>
    <w:rsid w:val="00871465"/>
    <w:rsid w:val="00873D7E"/>
    <w:rsid w:val="008746AA"/>
    <w:rsid w:val="00875E97"/>
    <w:rsid w:val="008766CA"/>
    <w:rsid w:val="00877079"/>
    <w:rsid w:val="0088428F"/>
    <w:rsid w:val="00885C47"/>
    <w:rsid w:val="00886459"/>
    <w:rsid w:val="008875C0"/>
    <w:rsid w:val="008879DA"/>
    <w:rsid w:val="00887B7C"/>
    <w:rsid w:val="00890105"/>
    <w:rsid w:val="0089440B"/>
    <w:rsid w:val="00894F9B"/>
    <w:rsid w:val="0089554F"/>
    <w:rsid w:val="00896304"/>
    <w:rsid w:val="00897805"/>
    <w:rsid w:val="008A5137"/>
    <w:rsid w:val="008A6C24"/>
    <w:rsid w:val="008B0963"/>
    <w:rsid w:val="008B16A6"/>
    <w:rsid w:val="008B2850"/>
    <w:rsid w:val="008B3DD4"/>
    <w:rsid w:val="008B5571"/>
    <w:rsid w:val="008B78E1"/>
    <w:rsid w:val="008B7AA6"/>
    <w:rsid w:val="008C1FC6"/>
    <w:rsid w:val="008C2DE6"/>
    <w:rsid w:val="008C31E2"/>
    <w:rsid w:val="008C4A22"/>
    <w:rsid w:val="008D0EE4"/>
    <w:rsid w:val="008D1C47"/>
    <w:rsid w:val="008D23E2"/>
    <w:rsid w:val="008D2FBF"/>
    <w:rsid w:val="008D2FF3"/>
    <w:rsid w:val="008D5076"/>
    <w:rsid w:val="008D59C4"/>
    <w:rsid w:val="008D7E53"/>
    <w:rsid w:val="008E0843"/>
    <w:rsid w:val="008E5001"/>
    <w:rsid w:val="008F04A6"/>
    <w:rsid w:val="008F0BF7"/>
    <w:rsid w:val="008F2436"/>
    <w:rsid w:val="008F4E8B"/>
    <w:rsid w:val="008F57C8"/>
    <w:rsid w:val="008F6223"/>
    <w:rsid w:val="009029FD"/>
    <w:rsid w:val="009060FF"/>
    <w:rsid w:val="00907E80"/>
    <w:rsid w:val="00910044"/>
    <w:rsid w:val="00913C46"/>
    <w:rsid w:val="009151EA"/>
    <w:rsid w:val="00915916"/>
    <w:rsid w:val="00915BEA"/>
    <w:rsid w:val="00926786"/>
    <w:rsid w:val="00930138"/>
    <w:rsid w:val="00930E2D"/>
    <w:rsid w:val="00930E61"/>
    <w:rsid w:val="00930EF8"/>
    <w:rsid w:val="0093472C"/>
    <w:rsid w:val="0093538D"/>
    <w:rsid w:val="00940A1A"/>
    <w:rsid w:val="009419C8"/>
    <w:rsid w:val="00942300"/>
    <w:rsid w:val="009444F6"/>
    <w:rsid w:val="00946778"/>
    <w:rsid w:val="00951C22"/>
    <w:rsid w:val="009523EC"/>
    <w:rsid w:val="00953E66"/>
    <w:rsid w:val="00957417"/>
    <w:rsid w:val="0096031E"/>
    <w:rsid w:val="0096283D"/>
    <w:rsid w:val="00970DF2"/>
    <w:rsid w:val="009743A5"/>
    <w:rsid w:val="009747F5"/>
    <w:rsid w:val="009757FE"/>
    <w:rsid w:val="0098064F"/>
    <w:rsid w:val="009843A0"/>
    <w:rsid w:val="0098529C"/>
    <w:rsid w:val="00986710"/>
    <w:rsid w:val="009920D5"/>
    <w:rsid w:val="0099394B"/>
    <w:rsid w:val="0099480A"/>
    <w:rsid w:val="00995B6B"/>
    <w:rsid w:val="009A1D8A"/>
    <w:rsid w:val="009A2F30"/>
    <w:rsid w:val="009A422C"/>
    <w:rsid w:val="009A5750"/>
    <w:rsid w:val="009A5C5D"/>
    <w:rsid w:val="009A5D69"/>
    <w:rsid w:val="009A68F2"/>
    <w:rsid w:val="009A6C3C"/>
    <w:rsid w:val="009A76F2"/>
    <w:rsid w:val="009B1016"/>
    <w:rsid w:val="009B2860"/>
    <w:rsid w:val="009B3394"/>
    <w:rsid w:val="009B3477"/>
    <w:rsid w:val="009B64DC"/>
    <w:rsid w:val="009C501C"/>
    <w:rsid w:val="009C6CC0"/>
    <w:rsid w:val="009C782A"/>
    <w:rsid w:val="009D222E"/>
    <w:rsid w:val="009D2B3C"/>
    <w:rsid w:val="009D4E73"/>
    <w:rsid w:val="009D58CA"/>
    <w:rsid w:val="009D58F2"/>
    <w:rsid w:val="009D62AE"/>
    <w:rsid w:val="009E0754"/>
    <w:rsid w:val="009E0F58"/>
    <w:rsid w:val="009E2A54"/>
    <w:rsid w:val="009E5C66"/>
    <w:rsid w:val="009F0FF9"/>
    <w:rsid w:val="009F5291"/>
    <w:rsid w:val="009F7988"/>
    <w:rsid w:val="00A00946"/>
    <w:rsid w:val="00A06E49"/>
    <w:rsid w:val="00A1271B"/>
    <w:rsid w:val="00A14459"/>
    <w:rsid w:val="00A153AE"/>
    <w:rsid w:val="00A16903"/>
    <w:rsid w:val="00A1744D"/>
    <w:rsid w:val="00A178C0"/>
    <w:rsid w:val="00A201FC"/>
    <w:rsid w:val="00A2063A"/>
    <w:rsid w:val="00A21B0E"/>
    <w:rsid w:val="00A239A0"/>
    <w:rsid w:val="00A23FA0"/>
    <w:rsid w:val="00A24061"/>
    <w:rsid w:val="00A24ED2"/>
    <w:rsid w:val="00A258FF"/>
    <w:rsid w:val="00A259CC"/>
    <w:rsid w:val="00A32043"/>
    <w:rsid w:val="00A322EC"/>
    <w:rsid w:val="00A32DDC"/>
    <w:rsid w:val="00A335F8"/>
    <w:rsid w:val="00A362ED"/>
    <w:rsid w:val="00A42BC9"/>
    <w:rsid w:val="00A45C5D"/>
    <w:rsid w:val="00A520F2"/>
    <w:rsid w:val="00A52DDC"/>
    <w:rsid w:val="00A5451E"/>
    <w:rsid w:val="00A5466A"/>
    <w:rsid w:val="00A5578B"/>
    <w:rsid w:val="00A57ADD"/>
    <w:rsid w:val="00A61F55"/>
    <w:rsid w:val="00A62F8C"/>
    <w:rsid w:val="00A63FBB"/>
    <w:rsid w:val="00A67350"/>
    <w:rsid w:val="00A723C1"/>
    <w:rsid w:val="00A72C7A"/>
    <w:rsid w:val="00A73D31"/>
    <w:rsid w:val="00A745A3"/>
    <w:rsid w:val="00A74EFF"/>
    <w:rsid w:val="00A7517E"/>
    <w:rsid w:val="00A760ED"/>
    <w:rsid w:val="00A7661A"/>
    <w:rsid w:val="00A777C5"/>
    <w:rsid w:val="00A82D70"/>
    <w:rsid w:val="00A8351C"/>
    <w:rsid w:val="00A83818"/>
    <w:rsid w:val="00A842EE"/>
    <w:rsid w:val="00A84B6A"/>
    <w:rsid w:val="00A85380"/>
    <w:rsid w:val="00A90EA9"/>
    <w:rsid w:val="00A92193"/>
    <w:rsid w:val="00A92904"/>
    <w:rsid w:val="00A938D8"/>
    <w:rsid w:val="00A940D3"/>
    <w:rsid w:val="00A94936"/>
    <w:rsid w:val="00A9498D"/>
    <w:rsid w:val="00A951A8"/>
    <w:rsid w:val="00AA0B39"/>
    <w:rsid w:val="00AA1936"/>
    <w:rsid w:val="00AA1D10"/>
    <w:rsid w:val="00AA1E13"/>
    <w:rsid w:val="00AA3304"/>
    <w:rsid w:val="00AA3EA2"/>
    <w:rsid w:val="00AB2DBB"/>
    <w:rsid w:val="00AB2EAB"/>
    <w:rsid w:val="00AB7887"/>
    <w:rsid w:val="00AB7A88"/>
    <w:rsid w:val="00AC00BC"/>
    <w:rsid w:val="00AC02C6"/>
    <w:rsid w:val="00AC093A"/>
    <w:rsid w:val="00AC14E6"/>
    <w:rsid w:val="00AC1B6E"/>
    <w:rsid w:val="00AC2A9D"/>
    <w:rsid w:val="00AC319A"/>
    <w:rsid w:val="00AC357F"/>
    <w:rsid w:val="00AC44AE"/>
    <w:rsid w:val="00AC4996"/>
    <w:rsid w:val="00AC506B"/>
    <w:rsid w:val="00AC55E3"/>
    <w:rsid w:val="00AC56CE"/>
    <w:rsid w:val="00AC773D"/>
    <w:rsid w:val="00AD2422"/>
    <w:rsid w:val="00AD2D68"/>
    <w:rsid w:val="00AD5AD9"/>
    <w:rsid w:val="00AD6398"/>
    <w:rsid w:val="00AD6DDF"/>
    <w:rsid w:val="00AD7FC6"/>
    <w:rsid w:val="00AE0752"/>
    <w:rsid w:val="00AE135B"/>
    <w:rsid w:val="00AE2623"/>
    <w:rsid w:val="00AE4062"/>
    <w:rsid w:val="00AF0B7A"/>
    <w:rsid w:val="00AF10B6"/>
    <w:rsid w:val="00AF535E"/>
    <w:rsid w:val="00AF53D5"/>
    <w:rsid w:val="00AF54D4"/>
    <w:rsid w:val="00AF664E"/>
    <w:rsid w:val="00AF7397"/>
    <w:rsid w:val="00AF7DA0"/>
    <w:rsid w:val="00B10512"/>
    <w:rsid w:val="00B12F8F"/>
    <w:rsid w:val="00B13984"/>
    <w:rsid w:val="00B172FD"/>
    <w:rsid w:val="00B213BD"/>
    <w:rsid w:val="00B24561"/>
    <w:rsid w:val="00B251A7"/>
    <w:rsid w:val="00B25678"/>
    <w:rsid w:val="00B272FB"/>
    <w:rsid w:val="00B27551"/>
    <w:rsid w:val="00B301F8"/>
    <w:rsid w:val="00B331B9"/>
    <w:rsid w:val="00B3333B"/>
    <w:rsid w:val="00B341B2"/>
    <w:rsid w:val="00B40F5B"/>
    <w:rsid w:val="00B42BC9"/>
    <w:rsid w:val="00B445B6"/>
    <w:rsid w:val="00B446DF"/>
    <w:rsid w:val="00B465D2"/>
    <w:rsid w:val="00B46783"/>
    <w:rsid w:val="00B46BB0"/>
    <w:rsid w:val="00B47359"/>
    <w:rsid w:val="00B47542"/>
    <w:rsid w:val="00B50556"/>
    <w:rsid w:val="00B51133"/>
    <w:rsid w:val="00B51FC8"/>
    <w:rsid w:val="00B57448"/>
    <w:rsid w:val="00B57C43"/>
    <w:rsid w:val="00B60800"/>
    <w:rsid w:val="00B60807"/>
    <w:rsid w:val="00B63A48"/>
    <w:rsid w:val="00B63B46"/>
    <w:rsid w:val="00B65B51"/>
    <w:rsid w:val="00B65B71"/>
    <w:rsid w:val="00B660C4"/>
    <w:rsid w:val="00B66E4F"/>
    <w:rsid w:val="00B73F5D"/>
    <w:rsid w:val="00B74532"/>
    <w:rsid w:val="00B7673E"/>
    <w:rsid w:val="00B76843"/>
    <w:rsid w:val="00B77C3E"/>
    <w:rsid w:val="00B80CE6"/>
    <w:rsid w:val="00B80E21"/>
    <w:rsid w:val="00B81331"/>
    <w:rsid w:val="00B81ABE"/>
    <w:rsid w:val="00B829EC"/>
    <w:rsid w:val="00B933FE"/>
    <w:rsid w:val="00B93534"/>
    <w:rsid w:val="00B96446"/>
    <w:rsid w:val="00B96ADA"/>
    <w:rsid w:val="00B96E6F"/>
    <w:rsid w:val="00B97307"/>
    <w:rsid w:val="00BA0F33"/>
    <w:rsid w:val="00BA0F74"/>
    <w:rsid w:val="00BA31FB"/>
    <w:rsid w:val="00BA411F"/>
    <w:rsid w:val="00BA4844"/>
    <w:rsid w:val="00BA5CFE"/>
    <w:rsid w:val="00BA6206"/>
    <w:rsid w:val="00BA7852"/>
    <w:rsid w:val="00BB0140"/>
    <w:rsid w:val="00BB04AA"/>
    <w:rsid w:val="00BB2AFA"/>
    <w:rsid w:val="00BB3F13"/>
    <w:rsid w:val="00BB4305"/>
    <w:rsid w:val="00BB4512"/>
    <w:rsid w:val="00BB5857"/>
    <w:rsid w:val="00BB5B0A"/>
    <w:rsid w:val="00BB6252"/>
    <w:rsid w:val="00BB7935"/>
    <w:rsid w:val="00BB7B8E"/>
    <w:rsid w:val="00BC3550"/>
    <w:rsid w:val="00BC3897"/>
    <w:rsid w:val="00BC4D04"/>
    <w:rsid w:val="00BC5297"/>
    <w:rsid w:val="00BC563B"/>
    <w:rsid w:val="00BC59C1"/>
    <w:rsid w:val="00BC72A8"/>
    <w:rsid w:val="00BC7358"/>
    <w:rsid w:val="00BC7CAA"/>
    <w:rsid w:val="00BC7DAF"/>
    <w:rsid w:val="00BD17E6"/>
    <w:rsid w:val="00BD1B10"/>
    <w:rsid w:val="00BD341D"/>
    <w:rsid w:val="00BD6B9C"/>
    <w:rsid w:val="00BD6ED6"/>
    <w:rsid w:val="00BE10A0"/>
    <w:rsid w:val="00BE16CC"/>
    <w:rsid w:val="00BE1F93"/>
    <w:rsid w:val="00BE434C"/>
    <w:rsid w:val="00BF000D"/>
    <w:rsid w:val="00BF40F2"/>
    <w:rsid w:val="00BF63B9"/>
    <w:rsid w:val="00BF65A7"/>
    <w:rsid w:val="00BF70C4"/>
    <w:rsid w:val="00C00F66"/>
    <w:rsid w:val="00C010FB"/>
    <w:rsid w:val="00C02E1E"/>
    <w:rsid w:val="00C10EA8"/>
    <w:rsid w:val="00C11350"/>
    <w:rsid w:val="00C1167E"/>
    <w:rsid w:val="00C11BD9"/>
    <w:rsid w:val="00C13810"/>
    <w:rsid w:val="00C14D44"/>
    <w:rsid w:val="00C165B5"/>
    <w:rsid w:val="00C16B4C"/>
    <w:rsid w:val="00C175CD"/>
    <w:rsid w:val="00C205DC"/>
    <w:rsid w:val="00C212D0"/>
    <w:rsid w:val="00C21745"/>
    <w:rsid w:val="00C219BF"/>
    <w:rsid w:val="00C254CA"/>
    <w:rsid w:val="00C26B7B"/>
    <w:rsid w:val="00C305AA"/>
    <w:rsid w:val="00C30D18"/>
    <w:rsid w:val="00C32AB3"/>
    <w:rsid w:val="00C34087"/>
    <w:rsid w:val="00C34480"/>
    <w:rsid w:val="00C34EBA"/>
    <w:rsid w:val="00C35379"/>
    <w:rsid w:val="00C37441"/>
    <w:rsid w:val="00C402A1"/>
    <w:rsid w:val="00C43FEB"/>
    <w:rsid w:val="00C4441D"/>
    <w:rsid w:val="00C44485"/>
    <w:rsid w:val="00C50BA7"/>
    <w:rsid w:val="00C55C36"/>
    <w:rsid w:val="00C5637F"/>
    <w:rsid w:val="00C571C4"/>
    <w:rsid w:val="00C573BB"/>
    <w:rsid w:val="00C57EA4"/>
    <w:rsid w:val="00C61711"/>
    <w:rsid w:val="00C61F43"/>
    <w:rsid w:val="00C620C0"/>
    <w:rsid w:val="00C64958"/>
    <w:rsid w:val="00C64C2F"/>
    <w:rsid w:val="00C65489"/>
    <w:rsid w:val="00C72FAF"/>
    <w:rsid w:val="00C73186"/>
    <w:rsid w:val="00C73826"/>
    <w:rsid w:val="00C7391E"/>
    <w:rsid w:val="00C73C71"/>
    <w:rsid w:val="00C74084"/>
    <w:rsid w:val="00C80222"/>
    <w:rsid w:val="00C809AD"/>
    <w:rsid w:val="00C80F9D"/>
    <w:rsid w:val="00C81D62"/>
    <w:rsid w:val="00C866B2"/>
    <w:rsid w:val="00C86AEF"/>
    <w:rsid w:val="00C90A0F"/>
    <w:rsid w:val="00C910DD"/>
    <w:rsid w:val="00C93AB1"/>
    <w:rsid w:val="00CA0132"/>
    <w:rsid w:val="00CA0A04"/>
    <w:rsid w:val="00CA264C"/>
    <w:rsid w:val="00CA5718"/>
    <w:rsid w:val="00CA63E1"/>
    <w:rsid w:val="00CA7842"/>
    <w:rsid w:val="00CB0A26"/>
    <w:rsid w:val="00CB167A"/>
    <w:rsid w:val="00CB45AE"/>
    <w:rsid w:val="00CB5BE0"/>
    <w:rsid w:val="00CB7D83"/>
    <w:rsid w:val="00CC0500"/>
    <w:rsid w:val="00CC271D"/>
    <w:rsid w:val="00CC2CE7"/>
    <w:rsid w:val="00CC3574"/>
    <w:rsid w:val="00CC49C2"/>
    <w:rsid w:val="00CC55F6"/>
    <w:rsid w:val="00CC5BE3"/>
    <w:rsid w:val="00CC6251"/>
    <w:rsid w:val="00CC7132"/>
    <w:rsid w:val="00CC73F5"/>
    <w:rsid w:val="00CC7794"/>
    <w:rsid w:val="00CC7BB7"/>
    <w:rsid w:val="00CD06FC"/>
    <w:rsid w:val="00CD13E3"/>
    <w:rsid w:val="00CD155B"/>
    <w:rsid w:val="00CD1D71"/>
    <w:rsid w:val="00CD23EF"/>
    <w:rsid w:val="00CD4483"/>
    <w:rsid w:val="00CD6879"/>
    <w:rsid w:val="00CD7B11"/>
    <w:rsid w:val="00CE3159"/>
    <w:rsid w:val="00CE3577"/>
    <w:rsid w:val="00CE7BB3"/>
    <w:rsid w:val="00CF1400"/>
    <w:rsid w:val="00CF2613"/>
    <w:rsid w:val="00CF3351"/>
    <w:rsid w:val="00CF6C29"/>
    <w:rsid w:val="00CF71CC"/>
    <w:rsid w:val="00CF7437"/>
    <w:rsid w:val="00D00C7B"/>
    <w:rsid w:val="00D03295"/>
    <w:rsid w:val="00D04812"/>
    <w:rsid w:val="00D04DA0"/>
    <w:rsid w:val="00D071A4"/>
    <w:rsid w:val="00D079D9"/>
    <w:rsid w:val="00D07A49"/>
    <w:rsid w:val="00D102EA"/>
    <w:rsid w:val="00D10328"/>
    <w:rsid w:val="00D10E19"/>
    <w:rsid w:val="00D1114B"/>
    <w:rsid w:val="00D12E85"/>
    <w:rsid w:val="00D134AF"/>
    <w:rsid w:val="00D14E68"/>
    <w:rsid w:val="00D178CE"/>
    <w:rsid w:val="00D216D9"/>
    <w:rsid w:val="00D23623"/>
    <w:rsid w:val="00D243D0"/>
    <w:rsid w:val="00D24A9D"/>
    <w:rsid w:val="00D24D2E"/>
    <w:rsid w:val="00D24FAA"/>
    <w:rsid w:val="00D2548D"/>
    <w:rsid w:val="00D2601A"/>
    <w:rsid w:val="00D26AD1"/>
    <w:rsid w:val="00D312C5"/>
    <w:rsid w:val="00D341E0"/>
    <w:rsid w:val="00D346EE"/>
    <w:rsid w:val="00D34A2A"/>
    <w:rsid w:val="00D41EEA"/>
    <w:rsid w:val="00D432CB"/>
    <w:rsid w:val="00D43C8B"/>
    <w:rsid w:val="00D43FBD"/>
    <w:rsid w:val="00D4442F"/>
    <w:rsid w:val="00D45A99"/>
    <w:rsid w:val="00D471B0"/>
    <w:rsid w:val="00D502AB"/>
    <w:rsid w:val="00D50F6C"/>
    <w:rsid w:val="00D53DDB"/>
    <w:rsid w:val="00D57796"/>
    <w:rsid w:val="00D5786E"/>
    <w:rsid w:val="00D6018D"/>
    <w:rsid w:val="00D607C4"/>
    <w:rsid w:val="00D60F06"/>
    <w:rsid w:val="00D61602"/>
    <w:rsid w:val="00D635DE"/>
    <w:rsid w:val="00D666BF"/>
    <w:rsid w:val="00D70951"/>
    <w:rsid w:val="00D70D8A"/>
    <w:rsid w:val="00D7207B"/>
    <w:rsid w:val="00D72A21"/>
    <w:rsid w:val="00D736EE"/>
    <w:rsid w:val="00D739AE"/>
    <w:rsid w:val="00D73CC4"/>
    <w:rsid w:val="00D805F3"/>
    <w:rsid w:val="00D80A41"/>
    <w:rsid w:val="00D82C7C"/>
    <w:rsid w:val="00D842FC"/>
    <w:rsid w:val="00D84B48"/>
    <w:rsid w:val="00D85964"/>
    <w:rsid w:val="00D860F1"/>
    <w:rsid w:val="00D8611B"/>
    <w:rsid w:val="00D917C7"/>
    <w:rsid w:val="00D917D1"/>
    <w:rsid w:val="00D91BF0"/>
    <w:rsid w:val="00D9462E"/>
    <w:rsid w:val="00D94D3A"/>
    <w:rsid w:val="00D9526D"/>
    <w:rsid w:val="00D9538D"/>
    <w:rsid w:val="00D97701"/>
    <w:rsid w:val="00DA0D43"/>
    <w:rsid w:val="00DA4907"/>
    <w:rsid w:val="00DA4E1C"/>
    <w:rsid w:val="00DA75A3"/>
    <w:rsid w:val="00DA7ED6"/>
    <w:rsid w:val="00DB0947"/>
    <w:rsid w:val="00DB3FDF"/>
    <w:rsid w:val="00DB4424"/>
    <w:rsid w:val="00DB5161"/>
    <w:rsid w:val="00DB672C"/>
    <w:rsid w:val="00DB6A8C"/>
    <w:rsid w:val="00DB78DB"/>
    <w:rsid w:val="00DC1744"/>
    <w:rsid w:val="00DC2567"/>
    <w:rsid w:val="00DC57EE"/>
    <w:rsid w:val="00DC78F5"/>
    <w:rsid w:val="00DD3564"/>
    <w:rsid w:val="00DD3F16"/>
    <w:rsid w:val="00DD4B37"/>
    <w:rsid w:val="00DD5831"/>
    <w:rsid w:val="00DD66BD"/>
    <w:rsid w:val="00DE1293"/>
    <w:rsid w:val="00DE35A4"/>
    <w:rsid w:val="00DE5B59"/>
    <w:rsid w:val="00DE67A8"/>
    <w:rsid w:val="00DE6C2E"/>
    <w:rsid w:val="00DE743D"/>
    <w:rsid w:val="00DF01F2"/>
    <w:rsid w:val="00DF1117"/>
    <w:rsid w:val="00DF5252"/>
    <w:rsid w:val="00E008FB"/>
    <w:rsid w:val="00E01020"/>
    <w:rsid w:val="00E010C1"/>
    <w:rsid w:val="00E04865"/>
    <w:rsid w:val="00E04BC5"/>
    <w:rsid w:val="00E13C0C"/>
    <w:rsid w:val="00E15FFB"/>
    <w:rsid w:val="00E211B7"/>
    <w:rsid w:val="00E21DE3"/>
    <w:rsid w:val="00E24232"/>
    <w:rsid w:val="00E26570"/>
    <w:rsid w:val="00E33EAD"/>
    <w:rsid w:val="00E36B84"/>
    <w:rsid w:val="00E3749E"/>
    <w:rsid w:val="00E41095"/>
    <w:rsid w:val="00E4796C"/>
    <w:rsid w:val="00E50C37"/>
    <w:rsid w:val="00E51B57"/>
    <w:rsid w:val="00E51B84"/>
    <w:rsid w:val="00E523A4"/>
    <w:rsid w:val="00E53804"/>
    <w:rsid w:val="00E566B6"/>
    <w:rsid w:val="00E56BCB"/>
    <w:rsid w:val="00E62CC0"/>
    <w:rsid w:val="00E655A8"/>
    <w:rsid w:val="00E71300"/>
    <w:rsid w:val="00E74348"/>
    <w:rsid w:val="00E74DC9"/>
    <w:rsid w:val="00E75D44"/>
    <w:rsid w:val="00E760F2"/>
    <w:rsid w:val="00E81A5C"/>
    <w:rsid w:val="00E81F09"/>
    <w:rsid w:val="00E83959"/>
    <w:rsid w:val="00E84212"/>
    <w:rsid w:val="00E845CD"/>
    <w:rsid w:val="00E865AF"/>
    <w:rsid w:val="00E865F5"/>
    <w:rsid w:val="00E91E96"/>
    <w:rsid w:val="00E93E55"/>
    <w:rsid w:val="00E942E0"/>
    <w:rsid w:val="00E9517F"/>
    <w:rsid w:val="00E951F7"/>
    <w:rsid w:val="00E9623E"/>
    <w:rsid w:val="00E9623F"/>
    <w:rsid w:val="00EA019D"/>
    <w:rsid w:val="00EA3613"/>
    <w:rsid w:val="00EA3AAD"/>
    <w:rsid w:val="00EA4F7D"/>
    <w:rsid w:val="00EB1010"/>
    <w:rsid w:val="00EB1038"/>
    <w:rsid w:val="00EB4B67"/>
    <w:rsid w:val="00EB72E7"/>
    <w:rsid w:val="00EC27F7"/>
    <w:rsid w:val="00EC338B"/>
    <w:rsid w:val="00EC4B8C"/>
    <w:rsid w:val="00EC5AB3"/>
    <w:rsid w:val="00EC5CF9"/>
    <w:rsid w:val="00ED0052"/>
    <w:rsid w:val="00ED1062"/>
    <w:rsid w:val="00ED2E1B"/>
    <w:rsid w:val="00ED3CC1"/>
    <w:rsid w:val="00ED44A9"/>
    <w:rsid w:val="00ED4883"/>
    <w:rsid w:val="00ED7F37"/>
    <w:rsid w:val="00EE240F"/>
    <w:rsid w:val="00EE3CB5"/>
    <w:rsid w:val="00EE449A"/>
    <w:rsid w:val="00EE5992"/>
    <w:rsid w:val="00EF44DB"/>
    <w:rsid w:val="00F018D4"/>
    <w:rsid w:val="00F01C42"/>
    <w:rsid w:val="00F051B8"/>
    <w:rsid w:val="00F06366"/>
    <w:rsid w:val="00F07938"/>
    <w:rsid w:val="00F1039F"/>
    <w:rsid w:val="00F144C0"/>
    <w:rsid w:val="00F15067"/>
    <w:rsid w:val="00F15093"/>
    <w:rsid w:val="00F16C9D"/>
    <w:rsid w:val="00F170A7"/>
    <w:rsid w:val="00F17391"/>
    <w:rsid w:val="00F202C7"/>
    <w:rsid w:val="00F2091C"/>
    <w:rsid w:val="00F22DA2"/>
    <w:rsid w:val="00F2668C"/>
    <w:rsid w:val="00F34294"/>
    <w:rsid w:val="00F35596"/>
    <w:rsid w:val="00F361AF"/>
    <w:rsid w:val="00F40EE7"/>
    <w:rsid w:val="00F446B9"/>
    <w:rsid w:val="00F4736D"/>
    <w:rsid w:val="00F47C35"/>
    <w:rsid w:val="00F521AE"/>
    <w:rsid w:val="00F526E0"/>
    <w:rsid w:val="00F53F4A"/>
    <w:rsid w:val="00F546E3"/>
    <w:rsid w:val="00F575B4"/>
    <w:rsid w:val="00F62CA0"/>
    <w:rsid w:val="00F65A2A"/>
    <w:rsid w:val="00F70F94"/>
    <w:rsid w:val="00F71585"/>
    <w:rsid w:val="00F71651"/>
    <w:rsid w:val="00F71D70"/>
    <w:rsid w:val="00F71F22"/>
    <w:rsid w:val="00F72E9A"/>
    <w:rsid w:val="00F72F6B"/>
    <w:rsid w:val="00F73B19"/>
    <w:rsid w:val="00F73D85"/>
    <w:rsid w:val="00F75D31"/>
    <w:rsid w:val="00F80291"/>
    <w:rsid w:val="00F85033"/>
    <w:rsid w:val="00F8608D"/>
    <w:rsid w:val="00F863B6"/>
    <w:rsid w:val="00F86B28"/>
    <w:rsid w:val="00F8707D"/>
    <w:rsid w:val="00F9008C"/>
    <w:rsid w:val="00F92A1F"/>
    <w:rsid w:val="00F92A4E"/>
    <w:rsid w:val="00F9600B"/>
    <w:rsid w:val="00FA008D"/>
    <w:rsid w:val="00FA02F8"/>
    <w:rsid w:val="00FA030A"/>
    <w:rsid w:val="00FA0659"/>
    <w:rsid w:val="00FA1D13"/>
    <w:rsid w:val="00FA24B2"/>
    <w:rsid w:val="00FA2F99"/>
    <w:rsid w:val="00FA492D"/>
    <w:rsid w:val="00FA5592"/>
    <w:rsid w:val="00FA7314"/>
    <w:rsid w:val="00FA763E"/>
    <w:rsid w:val="00FB1456"/>
    <w:rsid w:val="00FB3E74"/>
    <w:rsid w:val="00FB5AD2"/>
    <w:rsid w:val="00FB5CF0"/>
    <w:rsid w:val="00FC1BE7"/>
    <w:rsid w:val="00FC447B"/>
    <w:rsid w:val="00FC5C99"/>
    <w:rsid w:val="00FC7986"/>
    <w:rsid w:val="00FD020D"/>
    <w:rsid w:val="00FD072B"/>
    <w:rsid w:val="00FD44FC"/>
    <w:rsid w:val="00FD4DE6"/>
    <w:rsid w:val="00FD61F1"/>
    <w:rsid w:val="00FD7304"/>
    <w:rsid w:val="00FE00E9"/>
    <w:rsid w:val="00FE1767"/>
    <w:rsid w:val="00FE2AA9"/>
    <w:rsid w:val="00FE44C1"/>
    <w:rsid w:val="00FE59C9"/>
    <w:rsid w:val="00FE6D78"/>
    <w:rsid w:val="00FF09A7"/>
    <w:rsid w:val="00FF22CA"/>
    <w:rsid w:val="00FF320A"/>
    <w:rsid w:val="00FF3CAC"/>
    <w:rsid w:val="00FF7113"/>
    <w:rsid w:val="00FF73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A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713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4A2A"/>
    <w:rPr>
      <w:i/>
      <w:iCs/>
    </w:rPr>
  </w:style>
  <w:style w:type="paragraph" w:customStyle="1" w:styleId="Default">
    <w:name w:val="Default"/>
    <w:rsid w:val="00D34A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34A2A"/>
    <w:pPr>
      <w:ind w:left="720"/>
      <w:contextualSpacing/>
    </w:pPr>
    <w:rPr>
      <w:rFonts w:ascii="Calibri" w:eastAsia="Times New Roman" w:hAnsi="Calibri" w:cs="Calibri"/>
    </w:rPr>
  </w:style>
  <w:style w:type="character" w:customStyle="1" w:styleId="apple-converted-space">
    <w:name w:val="apple-converted-space"/>
    <w:basedOn w:val="DefaultParagraphFont"/>
    <w:rsid w:val="00D34A2A"/>
  </w:style>
  <w:style w:type="table" w:styleId="TableGrid">
    <w:name w:val="Table Grid"/>
    <w:basedOn w:val="TableNormal"/>
    <w:uiPriority w:val="59"/>
    <w:rsid w:val="00BD6ED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3EA2"/>
    <w:rPr>
      <w:rFonts w:ascii="Times New Roman" w:eastAsia="Times New Roman" w:hAnsi="Times New Roman" w:cs="Times New Roman"/>
      <w:b/>
      <w:bCs/>
      <w:sz w:val="36"/>
      <w:szCs w:val="36"/>
    </w:rPr>
  </w:style>
  <w:style w:type="paragraph" w:styleId="NormalWeb">
    <w:name w:val="Normal (Web)"/>
    <w:basedOn w:val="Normal"/>
    <w:uiPriority w:val="99"/>
    <w:unhideWhenUsed/>
    <w:rsid w:val="00AA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476"/>
    <w:rPr>
      <w:b/>
      <w:bCs/>
    </w:rPr>
  </w:style>
  <w:style w:type="character" w:styleId="Hyperlink">
    <w:name w:val="Hyperlink"/>
    <w:basedOn w:val="DefaultParagraphFont"/>
    <w:uiPriority w:val="99"/>
    <w:unhideWhenUsed/>
    <w:rsid w:val="00795476"/>
    <w:rPr>
      <w:color w:val="0000FF"/>
      <w:u w:val="single"/>
    </w:rPr>
  </w:style>
  <w:style w:type="character" w:customStyle="1" w:styleId="Heading1Char">
    <w:name w:val="Heading 1 Char"/>
    <w:basedOn w:val="DefaultParagraphFont"/>
    <w:link w:val="Heading1"/>
    <w:uiPriority w:val="9"/>
    <w:rsid w:val="00B341B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6556B"/>
    <w:pPr>
      <w:spacing w:after="0" w:line="240" w:lineRule="auto"/>
    </w:pPr>
  </w:style>
  <w:style w:type="paragraph" w:styleId="Header">
    <w:name w:val="header"/>
    <w:basedOn w:val="Normal"/>
    <w:link w:val="HeaderChar"/>
    <w:uiPriority w:val="99"/>
    <w:unhideWhenUsed/>
    <w:rsid w:val="003C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50"/>
  </w:style>
  <w:style w:type="paragraph" w:styleId="Footer">
    <w:name w:val="footer"/>
    <w:basedOn w:val="Normal"/>
    <w:link w:val="FooterChar"/>
    <w:uiPriority w:val="99"/>
    <w:unhideWhenUsed/>
    <w:rsid w:val="003C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50"/>
  </w:style>
  <w:style w:type="table" w:customStyle="1" w:styleId="GridTable7Colorful-Accent41">
    <w:name w:val="Grid Table 7 Colorful - Accent 41"/>
    <w:basedOn w:val="TableNormal"/>
    <w:uiPriority w:val="52"/>
    <w:rsid w:val="009419C8"/>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41">
    <w:name w:val="Grid Table 3 - Accent 41"/>
    <w:basedOn w:val="TableNormal"/>
    <w:uiPriority w:val="48"/>
    <w:rsid w:val="006162BA"/>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PlainTable11">
    <w:name w:val="Plain Table 11"/>
    <w:basedOn w:val="TableNormal"/>
    <w:uiPriority w:val="41"/>
    <w:rsid w:val="00A009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09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5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37"/>
    <w:rPr>
      <w:rFonts w:ascii="Tahoma" w:hAnsi="Tahoma" w:cs="Tahoma"/>
      <w:sz w:val="16"/>
      <w:szCs w:val="16"/>
    </w:rPr>
  </w:style>
  <w:style w:type="paragraph" w:styleId="Title">
    <w:name w:val="Title"/>
    <w:basedOn w:val="Normal"/>
    <w:next w:val="Normal"/>
    <w:link w:val="TitleChar"/>
    <w:uiPriority w:val="10"/>
    <w:qFormat/>
    <w:rsid w:val="00DE7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43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71300"/>
    <w:rPr>
      <w:rFonts w:asciiTheme="majorHAnsi" w:eastAsiaTheme="majorEastAsia" w:hAnsiTheme="majorHAnsi" w:cstheme="majorBidi"/>
      <w:b/>
      <w:bCs/>
      <w:color w:val="4F81BD" w:themeColor="accent1"/>
    </w:rPr>
  </w:style>
  <w:style w:type="character" w:styleId="EndnoteReference">
    <w:name w:val="endnote reference"/>
    <w:basedOn w:val="DefaultParagraphFont"/>
    <w:uiPriority w:val="99"/>
    <w:semiHidden/>
    <w:unhideWhenUsed/>
    <w:rsid w:val="009D2B3C"/>
    <w:rPr>
      <w:vertAlign w:val="superscript"/>
    </w:rPr>
  </w:style>
  <w:style w:type="paragraph" w:styleId="FootnoteText">
    <w:name w:val="footnote text"/>
    <w:basedOn w:val="Normal"/>
    <w:link w:val="FootnoteTextChar"/>
    <w:uiPriority w:val="99"/>
    <w:semiHidden/>
    <w:unhideWhenUsed/>
    <w:rsid w:val="00995B6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95B6B"/>
    <w:rPr>
      <w:rFonts w:eastAsiaTheme="minorHAnsi"/>
      <w:sz w:val="20"/>
      <w:szCs w:val="20"/>
      <w:lang w:val="en-GB"/>
    </w:rPr>
  </w:style>
  <w:style w:type="paragraph" w:styleId="Caption">
    <w:name w:val="caption"/>
    <w:basedOn w:val="Normal"/>
    <w:next w:val="Normal"/>
    <w:uiPriority w:val="35"/>
    <w:unhideWhenUsed/>
    <w:qFormat/>
    <w:rsid w:val="00CB5BE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09210E"/>
    <w:rPr>
      <w:color w:val="800080" w:themeColor="followedHyperlink"/>
      <w:u w:val="single"/>
    </w:rPr>
  </w:style>
  <w:style w:type="paragraph" w:styleId="Revision">
    <w:name w:val="Revision"/>
    <w:hidden/>
    <w:uiPriority w:val="99"/>
    <w:semiHidden/>
    <w:rsid w:val="00F71F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A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713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4A2A"/>
    <w:rPr>
      <w:i/>
      <w:iCs/>
    </w:rPr>
  </w:style>
  <w:style w:type="paragraph" w:customStyle="1" w:styleId="Default">
    <w:name w:val="Default"/>
    <w:rsid w:val="00D34A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34A2A"/>
    <w:pPr>
      <w:ind w:left="720"/>
      <w:contextualSpacing/>
    </w:pPr>
    <w:rPr>
      <w:rFonts w:ascii="Calibri" w:eastAsia="Times New Roman" w:hAnsi="Calibri" w:cs="Calibri"/>
    </w:rPr>
  </w:style>
  <w:style w:type="character" w:customStyle="1" w:styleId="apple-converted-space">
    <w:name w:val="apple-converted-space"/>
    <w:basedOn w:val="DefaultParagraphFont"/>
    <w:rsid w:val="00D34A2A"/>
  </w:style>
  <w:style w:type="table" w:styleId="TableGrid">
    <w:name w:val="Table Grid"/>
    <w:basedOn w:val="TableNormal"/>
    <w:uiPriority w:val="59"/>
    <w:rsid w:val="00BD6ED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3EA2"/>
    <w:rPr>
      <w:rFonts w:ascii="Times New Roman" w:eastAsia="Times New Roman" w:hAnsi="Times New Roman" w:cs="Times New Roman"/>
      <w:b/>
      <w:bCs/>
      <w:sz w:val="36"/>
      <w:szCs w:val="36"/>
    </w:rPr>
  </w:style>
  <w:style w:type="paragraph" w:styleId="NormalWeb">
    <w:name w:val="Normal (Web)"/>
    <w:basedOn w:val="Normal"/>
    <w:uiPriority w:val="99"/>
    <w:unhideWhenUsed/>
    <w:rsid w:val="00AA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476"/>
    <w:rPr>
      <w:b/>
      <w:bCs/>
    </w:rPr>
  </w:style>
  <w:style w:type="character" w:styleId="Hyperlink">
    <w:name w:val="Hyperlink"/>
    <w:basedOn w:val="DefaultParagraphFont"/>
    <w:uiPriority w:val="99"/>
    <w:unhideWhenUsed/>
    <w:rsid w:val="00795476"/>
    <w:rPr>
      <w:color w:val="0000FF"/>
      <w:u w:val="single"/>
    </w:rPr>
  </w:style>
  <w:style w:type="character" w:customStyle="1" w:styleId="Heading1Char">
    <w:name w:val="Heading 1 Char"/>
    <w:basedOn w:val="DefaultParagraphFont"/>
    <w:link w:val="Heading1"/>
    <w:uiPriority w:val="9"/>
    <w:rsid w:val="00B341B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6556B"/>
    <w:pPr>
      <w:spacing w:after="0" w:line="240" w:lineRule="auto"/>
    </w:pPr>
  </w:style>
  <w:style w:type="paragraph" w:styleId="Header">
    <w:name w:val="header"/>
    <w:basedOn w:val="Normal"/>
    <w:link w:val="HeaderChar"/>
    <w:uiPriority w:val="99"/>
    <w:unhideWhenUsed/>
    <w:rsid w:val="003C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50"/>
  </w:style>
  <w:style w:type="paragraph" w:styleId="Footer">
    <w:name w:val="footer"/>
    <w:basedOn w:val="Normal"/>
    <w:link w:val="FooterChar"/>
    <w:uiPriority w:val="99"/>
    <w:unhideWhenUsed/>
    <w:rsid w:val="003C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50"/>
  </w:style>
  <w:style w:type="table" w:customStyle="1" w:styleId="GridTable7Colorful-Accent41">
    <w:name w:val="Grid Table 7 Colorful - Accent 41"/>
    <w:basedOn w:val="TableNormal"/>
    <w:uiPriority w:val="52"/>
    <w:rsid w:val="009419C8"/>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41">
    <w:name w:val="Grid Table 3 - Accent 41"/>
    <w:basedOn w:val="TableNormal"/>
    <w:uiPriority w:val="48"/>
    <w:rsid w:val="006162BA"/>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PlainTable11">
    <w:name w:val="Plain Table 11"/>
    <w:basedOn w:val="TableNormal"/>
    <w:uiPriority w:val="41"/>
    <w:rsid w:val="00A009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094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5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37"/>
    <w:rPr>
      <w:rFonts w:ascii="Tahoma" w:hAnsi="Tahoma" w:cs="Tahoma"/>
      <w:sz w:val="16"/>
      <w:szCs w:val="16"/>
    </w:rPr>
  </w:style>
  <w:style w:type="paragraph" w:styleId="Title">
    <w:name w:val="Title"/>
    <w:basedOn w:val="Normal"/>
    <w:next w:val="Normal"/>
    <w:link w:val="TitleChar"/>
    <w:uiPriority w:val="10"/>
    <w:qFormat/>
    <w:rsid w:val="00DE7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43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71300"/>
    <w:rPr>
      <w:rFonts w:asciiTheme="majorHAnsi" w:eastAsiaTheme="majorEastAsia" w:hAnsiTheme="majorHAnsi" w:cstheme="majorBidi"/>
      <w:b/>
      <w:bCs/>
      <w:color w:val="4F81BD" w:themeColor="accent1"/>
    </w:rPr>
  </w:style>
  <w:style w:type="character" w:styleId="EndnoteReference">
    <w:name w:val="endnote reference"/>
    <w:basedOn w:val="DefaultParagraphFont"/>
    <w:uiPriority w:val="99"/>
    <w:semiHidden/>
    <w:unhideWhenUsed/>
    <w:rsid w:val="009D2B3C"/>
    <w:rPr>
      <w:vertAlign w:val="superscript"/>
    </w:rPr>
  </w:style>
  <w:style w:type="paragraph" w:styleId="FootnoteText">
    <w:name w:val="footnote text"/>
    <w:basedOn w:val="Normal"/>
    <w:link w:val="FootnoteTextChar"/>
    <w:uiPriority w:val="99"/>
    <w:semiHidden/>
    <w:unhideWhenUsed/>
    <w:rsid w:val="00995B6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95B6B"/>
    <w:rPr>
      <w:rFonts w:eastAsiaTheme="minorHAnsi"/>
      <w:sz w:val="20"/>
      <w:szCs w:val="20"/>
      <w:lang w:val="en-GB"/>
    </w:rPr>
  </w:style>
  <w:style w:type="paragraph" w:styleId="Caption">
    <w:name w:val="caption"/>
    <w:basedOn w:val="Normal"/>
    <w:next w:val="Normal"/>
    <w:uiPriority w:val="35"/>
    <w:unhideWhenUsed/>
    <w:qFormat/>
    <w:rsid w:val="00CB5BE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09210E"/>
    <w:rPr>
      <w:color w:val="800080" w:themeColor="followedHyperlink"/>
      <w:u w:val="single"/>
    </w:rPr>
  </w:style>
  <w:style w:type="paragraph" w:styleId="Revision">
    <w:name w:val="Revision"/>
    <w:hidden/>
    <w:uiPriority w:val="99"/>
    <w:semiHidden/>
    <w:rsid w:val="00F71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6141">
      <w:bodyDiv w:val="1"/>
      <w:marLeft w:val="0"/>
      <w:marRight w:val="0"/>
      <w:marTop w:val="0"/>
      <w:marBottom w:val="0"/>
      <w:divBdr>
        <w:top w:val="none" w:sz="0" w:space="0" w:color="auto"/>
        <w:left w:val="none" w:sz="0" w:space="0" w:color="auto"/>
        <w:bottom w:val="none" w:sz="0" w:space="0" w:color="auto"/>
        <w:right w:val="none" w:sz="0" w:space="0" w:color="auto"/>
      </w:divBdr>
    </w:div>
    <w:div w:id="104619848">
      <w:bodyDiv w:val="1"/>
      <w:marLeft w:val="0"/>
      <w:marRight w:val="0"/>
      <w:marTop w:val="0"/>
      <w:marBottom w:val="0"/>
      <w:divBdr>
        <w:top w:val="none" w:sz="0" w:space="0" w:color="auto"/>
        <w:left w:val="none" w:sz="0" w:space="0" w:color="auto"/>
        <w:bottom w:val="none" w:sz="0" w:space="0" w:color="auto"/>
        <w:right w:val="none" w:sz="0" w:space="0" w:color="auto"/>
      </w:divBdr>
    </w:div>
    <w:div w:id="315228362">
      <w:bodyDiv w:val="1"/>
      <w:marLeft w:val="0"/>
      <w:marRight w:val="0"/>
      <w:marTop w:val="0"/>
      <w:marBottom w:val="0"/>
      <w:divBdr>
        <w:top w:val="none" w:sz="0" w:space="0" w:color="auto"/>
        <w:left w:val="none" w:sz="0" w:space="0" w:color="auto"/>
        <w:bottom w:val="none" w:sz="0" w:space="0" w:color="auto"/>
        <w:right w:val="none" w:sz="0" w:space="0" w:color="auto"/>
      </w:divBdr>
    </w:div>
    <w:div w:id="424542334">
      <w:bodyDiv w:val="1"/>
      <w:marLeft w:val="0"/>
      <w:marRight w:val="0"/>
      <w:marTop w:val="0"/>
      <w:marBottom w:val="0"/>
      <w:divBdr>
        <w:top w:val="none" w:sz="0" w:space="0" w:color="auto"/>
        <w:left w:val="none" w:sz="0" w:space="0" w:color="auto"/>
        <w:bottom w:val="none" w:sz="0" w:space="0" w:color="auto"/>
        <w:right w:val="none" w:sz="0" w:space="0" w:color="auto"/>
      </w:divBdr>
    </w:div>
    <w:div w:id="530191511">
      <w:bodyDiv w:val="1"/>
      <w:marLeft w:val="0"/>
      <w:marRight w:val="0"/>
      <w:marTop w:val="0"/>
      <w:marBottom w:val="0"/>
      <w:divBdr>
        <w:top w:val="none" w:sz="0" w:space="0" w:color="auto"/>
        <w:left w:val="none" w:sz="0" w:space="0" w:color="auto"/>
        <w:bottom w:val="none" w:sz="0" w:space="0" w:color="auto"/>
        <w:right w:val="none" w:sz="0" w:space="0" w:color="auto"/>
      </w:divBdr>
    </w:div>
    <w:div w:id="550582173">
      <w:bodyDiv w:val="1"/>
      <w:marLeft w:val="0"/>
      <w:marRight w:val="0"/>
      <w:marTop w:val="0"/>
      <w:marBottom w:val="0"/>
      <w:divBdr>
        <w:top w:val="none" w:sz="0" w:space="0" w:color="auto"/>
        <w:left w:val="none" w:sz="0" w:space="0" w:color="auto"/>
        <w:bottom w:val="none" w:sz="0" w:space="0" w:color="auto"/>
        <w:right w:val="none" w:sz="0" w:space="0" w:color="auto"/>
      </w:divBdr>
    </w:div>
    <w:div w:id="571277703">
      <w:bodyDiv w:val="1"/>
      <w:marLeft w:val="0"/>
      <w:marRight w:val="0"/>
      <w:marTop w:val="0"/>
      <w:marBottom w:val="0"/>
      <w:divBdr>
        <w:top w:val="none" w:sz="0" w:space="0" w:color="auto"/>
        <w:left w:val="none" w:sz="0" w:space="0" w:color="auto"/>
        <w:bottom w:val="none" w:sz="0" w:space="0" w:color="auto"/>
        <w:right w:val="none" w:sz="0" w:space="0" w:color="auto"/>
      </w:divBdr>
    </w:div>
    <w:div w:id="576205682">
      <w:bodyDiv w:val="1"/>
      <w:marLeft w:val="0"/>
      <w:marRight w:val="0"/>
      <w:marTop w:val="0"/>
      <w:marBottom w:val="0"/>
      <w:divBdr>
        <w:top w:val="none" w:sz="0" w:space="0" w:color="auto"/>
        <w:left w:val="none" w:sz="0" w:space="0" w:color="auto"/>
        <w:bottom w:val="none" w:sz="0" w:space="0" w:color="auto"/>
        <w:right w:val="none" w:sz="0" w:space="0" w:color="auto"/>
      </w:divBdr>
    </w:div>
    <w:div w:id="690423793">
      <w:bodyDiv w:val="1"/>
      <w:marLeft w:val="0"/>
      <w:marRight w:val="0"/>
      <w:marTop w:val="0"/>
      <w:marBottom w:val="0"/>
      <w:divBdr>
        <w:top w:val="none" w:sz="0" w:space="0" w:color="auto"/>
        <w:left w:val="none" w:sz="0" w:space="0" w:color="auto"/>
        <w:bottom w:val="none" w:sz="0" w:space="0" w:color="auto"/>
        <w:right w:val="none" w:sz="0" w:space="0" w:color="auto"/>
      </w:divBdr>
    </w:div>
    <w:div w:id="771708128">
      <w:bodyDiv w:val="1"/>
      <w:marLeft w:val="0"/>
      <w:marRight w:val="0"/>
      <w:marTop w:val="0"/>
      <w:marBottom w:val="0"/>
      <w:divBdr>
        <w:top w:val="none" w:sz="0" w:space="0" w:color="auto"/>
        <w:left w:val="none" w:sz="0" w:space="0" w:color="auto"/>
        <w:bottom w:val="none" w:sz="0" w:space="0" w:color="auto"/>
        <w:right w:val="none" w:sz="0" w:space="0" w:color="auto"/>
      </w:divBdr>
    </w:div>
    <w:div w:id="859590323">
      <w:bodyDiv w:val="1"/>
      <w:marLeft w:val="0"/>
      <w:marRight w:val="0"/>
      <w:marTop w:val="0"/>
      <w:marBottom w:val="0"/>
      <w:divBdr>
        <w:top w:val="none" w:sz="0" w:space="0" w:color="auto"/>
        <w:left w:val="none" w:sz="0" w:space="0" w:color="auto"/>
        <w:bottom w:val="none" w:sz="0" w:space="0" w:color="auto"/>
        <w:right w:val="none" w:sz="0" w:space="0" w:color="auto"/>
      </w:divBdr>
    </w:div>
    <w:div w:id="948779981">
      <w:bodyDiv w:val="1"/>
      <w:marLeft w:val="0"/>
      <w:marRight w:val="0"/>
      <w:marTop w:val="0"/>
      <w:marBottom w:val="0"/>
      <w:divBdr>
        <w:top w:val="none" w:sz="0" w:space="0" w:color="auto"/>
        <w:left w:val="none" w:sz="0" w:space="0" w:color="auto"/>
        <w:bottom w:val="none" w:sz="0" w:space="0" w:color="auto"/>
        <w:right w:val="none" w:sz="0" w:space="0" w:color="auto"/>
      </w:divBdr>
    </w:div>
    <w:div w:id="1101611999">
      <w:bodyDiv w:val="1"/>
      <w:marLeft w:val="0"/>
      <w:marRight w:val="0"/>
      <w:marTop w:val="0"/>
      <w:marBottom w:val="0"/>
      <w:divBdr>
        <w:top w:val="none" w:sz="0" w:space="0" w:color="auto"/>
        <w:left w:val="none" w:sz="0" w:space="0" w:color="auto"/>
        <w:bottom w:val="none" w:sz="0" w:space="0" w:color="auto"/>
        <w:right w:val="none" w:sz="0" w:space="0" w:color="auto"/>
      </w:divBdr>
    </w:div>
    <w:div w:id="1115174682">
      <w:bodyDiv w:val="1"/>
      <w:marLeft w:val="0"/>
      <w:marRight w:val="0"/>
      <w:marTop w:val="0"/>
      <w:marBottom w:val="0"/>
      <w:divBdr>
        <w:top w:val="none" w:sz="0" w:space="0" w:color="auto"/>
        <w:left w:val="none" w:sz="0" w:space="0" w:color="auto"/>
        <w:bottom w:val="none" w:sz="0" w:space="0" w:color="auto"/>
        <w:right w:val="none" w:sz="0" w:space="0" w:color="auto"/>
      </w:divBdr>
      <w:divsChild>
        <w:div w:id="954872006">
          <w:marLeft w:val="0"/>
          <w:marRight w:val="0"/>
          <w:marTop w:val="60"/>
          <w:marBottom w:val="0"/>
          <w:divBdr>
            <w:top w:val="none" w:sz="0" w:space="0" w:color="auto"/>
            <w:left w:val="none" w:sz="0" w:space="0" w:color="auto"/>
            <w:bottom w:val="none" w:sz="0" w:space="0" w:color="auto"/>
            <w:right w:val="none" w:sz="0" w:space="0" w:color="auto"/>
          </w:divBdr>
        </w:div>
      </w:divsChild>
    </w:div>
    <w:div w:id="1208178694">
      <w:bodyDiv w:val="1"/>
      <w:marLeft w:val="0"/>
      <w:marRight w:val="0"/>
      <w:marTop w:val="0"/>
      <w:marBottom w:val="0"/>
      <w:divBdr>
        <w:top w:val="none" w:sz="0" w:space="0" w:color="auto"/>
        <w:left w:val="none" w:sz="0" w:space="0" w:color="auto"/>
        <w:bottom w:val="none" w:sz="0" w:space="0" w:color="auto"/>
        <w:right w:val="none" w:sz="0" w:space="0" w:color="auto"/>
      </w:divBdr>
    </w:div>
    <w:div w:id="1233347700">
      <w:bodyDiv w:val="1"/>
      <w:marLeft w:val="0"/>
      <w:marRight w:val="0"/>
      <w:marTop w:val="0"/>
      <w:marBottom w:val="0"/>
      <w:divBdr>
        <w:top w:val="none" w:sz="0" w:space="0" w:color="auto"/>
        <w:left w:val="none" w:sz="0" w:space="0" w:color="auto"/>
        <w:bottom w:val="none" w:sz="0" w:space="0" w:color="auto"/>
        <w:right w:val="none" w:sz="0" w:space="0" w:color="auto"/>
      </w:divBdr>
    </w:div>
    <w:div w:id="1265648281">
      <w:bodyDiv w:val="1"/>
      <w:marLeft w:val="0"/>
      <w:marRight w:val="0"/>
      <w:marTop w:val="0"/>
      <w:marBottom w:val="0"/>
      <w:divBdr>
        <w:top w:val="none" w:sz="0" w:space="0" w:color="auto"/>
        <w:left w:val="none" w:sz="0" w:space="0" w:color="auto"/>
        <w:bottom w:val="none" w:sz="0" w:space="0" w:color="auto"/>
        <w:right w:val="none" w:sz="0" w:space="0" w:color="auto"/>
      </w:divBdr>
      <w:divsChild>
        <w:div w:id="2120831437">
          <w:marLeft w:val="0"/>
          <w:marRight w:val="0"/>
          <w:marTop w:val="0"/>
          <w:marBottom w:val="0"/>
          <w:divBdr>
            <w:top w:val="none" w:sz="0" w:space="0" w:color="auto"/>
            <w:left w:val="none" w:sz="0" w:space="0" w:color="auto"/>
            <w:bottom w:val="none" w:sz="0" w:space="0" w:color="auto"/>
            <w:right w:val="none" w:sz="0" w:space="0" w:color="auto"/>
          </w:divBdr>
          <w:divsChild>
            <w:div w:id="496769192">
              <w:marLeft w:val="0"/>
              <w:marRight w:val="0"/>
              <w:marTop w:val="0"/>
              <w:marBottom w:val="0"/>
              <w:divBdr>
                <w:top w:val="none" w:sz="0" w:space="0" w:color="auto"/>
                <w:left w:val="none" w:sz="0" w:space="0" w:color="auto"/>
                <w:bottom w:val="none" w:sz="0" w:space="0" w:color="auto"/>
                <w:right w:val="none" w:sz="0" w:space="0" w:color="auto"/>
              </w:divBdr>
              <w:divsChild>
                <w:div w:id="750588012">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4069727">
      <w:bodyDiv w:val="1"/>
      <w:marLeft w:val="0"/>
      <w:marRight w:val="0"/>
      <w:marTop w:val="0"/>
      <w:marBottom w:val="0"/>
      <w:divBdr>
        <w:top w:val="none" w:sz="0" w:space="0" w:color="auto"/>
        <w:left w:val="none" w:sz="0" w:space="0" w:color="auto"/>
        <w:bottom w:val="none" w:sz="0" w:space="0" w:color="auto"/>
        <w:right w:val="none" w:sz="0" w:space="0" w:color="auto"/>
      </w:divBdr>
    </w:div>
    <w:div w:id="1320041642">
      <w:bodyDiv w:val="1"/>
      <w:marLeft w:val="0"/>
      <w:marRight w:val="0"/>
      <w:marTop w:val="0"/>
      <w:marBottom w:val="0"/>
      <w:divBdr>
        <w:top w:val="none" w:sz="0" w:space="0" w:color="auto"/>
        <w:left w:val="none" w:sz="0" w:space="0" w:color="auto"/>
        <w:bottom w:val="none" w:sz="0" w:space="0" w:color="auto"/>
        <w:right w:val="none" w:sz="0" w:space="0" w:color="auto"/>
      </w:divBdr>
    </w:div>
    <w:div w:id="1357586637">
      <w:bodyDiv w:val="1"/>
      <w:marLeft w:val="0"/>
      <w:marRight w:val="0"/>
      <w:marTop w:val="0"/>
      <w:marBottom w:val="0"/>
      <w:divBdr>
        <w:top w:val="none" w:sz="0" w:space="0" w:color="auto"/>
        <w:left w:val="none" w:sz="0" w:space="0" w:color="auto"/>
        <w:bottom w:val="none" w:sz="0" w:space="0" w:color="auto"/>
        <w:right w:val="none" w:sz="0" w:space="0" w:color="auto"/>
      </w:divBdr>
    </w:div>
    <w:div w:id="1382442754">
      <w:bodyDiv w:val="1"/>
      <w:marLeft w:val="0"/>
      <w:marRight w:val="0"/>
      <w:marTop w:val="0"/>
      <w:marBottom w:val="0"/>
      <w:divBdr>
        <w:top w:val="none" w:sz="0" w:space="0" w:color="auto"/>
        <w:left w:val="none" w:sz="0" w:space="0" w:color="auto"/>
        <w:bottom w:val="none" w:sz="0" w:space="0" w:color="auto"/>
        <w:right w:val="none" w:sz="0" w:space="0" w:color="auto"/>
      </w:divBdr>
    </w:div>
    <w:div w:id="1404765553">
      <w:bodyDiv w:val="1"/>
      <w:marLeft w:val="0"/>
      <w:marRight w:val="0"/>
      <w:marTop w:val="0"/>
      <w:marBottom w:val="0"/>
      <w:divBdr>
        <w:top w:val="none" w:sz="0" w:space="0" w:color="auto"/>
        <w:left w:val="none" w:sz="0" w:space="0" w:color="auto"/>
        <w:bottom w:val="none" w:sz="0" w:space="0" w:color="auto"/>
        <w:right w:val="none" w:sz="0" w:space="0" w:color="auto"/>
      </w:divBdr>
    </w:div>
    <w:div w:id="1466048155">
      <w:bodyDiv w:val="1"/>
      <w:marLeft w:val="0"/>
      <w:marRight w:val="0"/>
      <w:marTop w:val="0"/>
      <w:marBottom w:val="0"/>
      <w:divBdr>
        <w:top w:val="none" w:sz="0" w:space="0" w:color="auto"/>
        <w:left w:val="none" w:sz="0" w:space="0" w:color="auto"/>
        <w:bottom w:val="none" w:sz="0" w:space="0" w:color="auto"/>
        <w:right w:val="none" w:sz="0" w:space="0" w:color="auto"/>
      </w:divBdr>
    </w:div>
    <w:div w:id="1530996768">
      <w:bodyDiv w:val="1"/>
      <w:marLeft w:val="0"/>
      <w:marRight w:val="0"/>
      <w:marTop w:val="0"/>
      <w:marBottom w:val="0"/>
      <w:divBdr>
        <w:top w:val="none" w:sz="0" w:space="0" w:color="auto"/>
        <w:left w:val="none" w:sz="0" w:space="0" w:color="auto"/>
        <w:bottom w:val="none" w:sz="0" w:space="0" w:color="auto"/>
        <w:right w:val="none" w:sz="0" w:space="0" w:color="auto"/>
      </w:divBdr>
    </w:div>
    <w:div w:id="1552112436">
      <w:bodyDiv w:val="1"/>
      <w:marLeft w:val="0"/>
      <w:marRight w:val="0"/>
      <w:marTop w:val="0"/>
      <w:marBottom w:val="0"/>
      <w:divBdr>
        <w:top w:val="none" w:sz="0" w:space="0" w:color="auto"/>
        <w:left w:val="none" w:sz="0" w:space="0" w:color="auto"/>
        <w:bottom w:val="none" w:sz="0" w:space="0" w:color="auto"/>
        <w:right w:val="none" w:sz="0" w:space="0" w:color="auto"/>
      </w:divBdr>
    </w:div>
    <w:div w:id="1570067818">
      <w:bodyDiv w:val="1"/>
      <w:marLeft w:val="0"/>
      <w:marRight w:val="0"/>
      <w:marTop w:val="0"/>
      <w:marBottom w:val="0"/>
      <w:divBdr>
        <w:top w:val="none" w:sz="0" w:space="0" w:color="auto"/>
        <w:left w:val="none" w:sz="0" w:space="0" w:color="auto"/>
        <w:bottom w:val="none" w:sz="0" w:space="0" w:color="auto"/>
        <w:right w:val="none" w:sz="0" w:space="0" w:color="auto"/>
      </w:divBdr>
    </w:div>
    <w:div w:id="1701322836">
      <w:bodyDiv w:val="1"/>
      <w:marLeft w:val="0"/>
      <w:marRight w:val="0"/>
      <w:marTop w:val="0"/>
      <w:marBottom w:val="0"/>
      <w:divBdr>
        <w:top w:val="none" w:sz="0" w:space="0" w:color="auto"/>
        <w:left w:val="none" w:sz="0" w:space="0" w:color="auto"/>
        <w:bottom w:val="none" w:sz="0" w:space="0" w:color="auto"/>
        <w:right w:val="none" w:sz="0" w:space="0" w:color="auto"/>
      </w:divBdr>
    </w:div>
    <w:div w:id="1783718407">
      <w:bodyDiv w:val="1"/>
      <w:marLeft w:val="0"/>
      <w:marRight w:val="0"/>
      <w:marTop w:val="0"/>
      <w:marBottom w:val="0"/>
      <w:divBdr>
        <w:top w:val="none" w:sz="0" w:space="0" w:color="auto"/>
        <w:left w:val="none" w:sz="0" w:space="0" w:color="auto"/>
        <w:bottom w:val="none" w:sz="0" w:space="0" w:color="auto"/>
        <w:right w:val="none" w:sz="0" w:space="0" w:color="auto"/>
      </w:divBdr>
    </w:div>
    <w:div w:id="1821075401">
      <w:bodyDiv w:val="1"/>
      <w:marLeft w:val="0"/>
      <w:marRight w:val="0"/>
      <w:marTop w:val="0"/>
      <w:marBottom w:val="0"/>
      <w:divBdr>
        <w:top w:val="none" w:sz="0" w:space="0" w:color="auto"/>
        <w:left w:val="none" w:sz="0" w:space="0" w:color="auto"/>
        <w:bottom w:val="none" w:sz="0" w:space="0" w:color="auto"/>
        <w:right w:val="none" w:sz="0" w:space="0" w:color="auto"/>
      </w:divBdr>
    </w:div>
    <w:div w:id="1866408194">
      <w:bodyDiv w:val="1"/>
      <w:marLeft w:val="0"/>
      <w:marRight w:val="0"/>
      <w:marTop w:val="0"/>
      <w:marBottom w:val="0"/>
      <w:divBdr>
        <w:top w:val="none" w:sz="0" w:space="0" w:color="auto"/>
        <w:left w:val="none" w:sz="0" w:space="0" w:color="auto"/>
        <w:bottom w:val="none" w:sz="0" w:space="0" w:color="auto"/>
        <w:right w:val="none" w:sz="0" w:space="0" w:color="auto"/>
      </w:divBdr>
    </w:div>
    <w:div w:id="1899783737">
      <w:bodyDiv w:val="1"/>
      <w:marLeft w:val="0"/>
      <w:marRight w:val="0"/>
      <w:marTop w:val="0"/>
      <w:marBottom w:val="0"/>
      <w:divBdr>
        <w:top w:val="none" w:sz="0" w:space="0" w:color="auto"/>
        <w:left w:val="none" w:sz="0" w:space="0" w:color="auto"/>
        <w:bottom w:val="none" w:sz="0" w:space="0" w:color="auto"/>
        <w:right w:val="none" w:sz="0" w:space="0" w:color="auto"/>
      </w:divBdr>
    </w:div>
    <w:div w:id="1916428855">
      <w:bodyDiv w:val="1"/>
      <w:marLeft w:val="0"/>
      <w:marRight w:val="0"/>
      <w:marTop w:val="0"/>
      <w:marBottom w:val="0"/>
      <w:divBdr>
        <w:top w:val="none" w:sz="0" w:space="0" w:color="auto"/>
        <w:left w:val="none" w:sz="0" w:space="0" w:color="auto"/>
        <w:bottom w:val="none" w:sz="0" w:space="0" w:color="auto"/>
        <w:right w:val="none" w:sz="0" w:space="0" w:color="auto"/>
      </w:divBdr>
    </w:div>
    <w:div w:id="1951159243">
      <w:bodyDiv w:val="1"/>
      <w:marLeft w:val="0"/>
      <w:marRight w:val="0"/>
      <w:marTop w:val="0"/>
      <w:marBottom w:val="0"/>
      <w:divBdr>
        <w:top w:val="none" w:sz="0" w:space="0" w:color="auto"/>
        <w:left w:val="none" w:sz="0" w:space="0" w:color="auto"/>
        <w:bottom w:val="none" w:sz="0" w:space="0" w:color="auto"/>
        <w:right w:val="none" w:sz="0" w:space="0" w:color="auto"/>
      </w:divBdr>
    </w:div>
    <w:div w:id="1982222891">
      <w:marLeft w:val="0"/>
      <w:marRight w:val="0"/>
      <w:marTop w:val="0"/>
      <w:marBottom w:val="0"/>
      <w:divBdr>
        <w:top w:val="none" w:sz="0" w:space="0" w:color="auto"/>
        <w:left w:val="none" w:sz="0" w:space="0" w:color="auto"/>
        <w:bottom w:val="none" w:sz="0" w:space="0" w:color="auto"/>
        <w:right w:val="none" w:sz="0" w:space="0" w:color="auto"/>
      </w:divBdr>
    </w:div>
    <w:div w:id="21293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lectrical4u.com/electrical-power-transformer-definition-and-types-of-transformer/"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amtulq@neduet.edu.com" TargetMode="Externa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Imported Oil</c:v>
                </c:pt>
              </c:strCache>
            </c:strRef>
          </c:tx>
          <c:spPr>
            <a:solidFill>
              <a:schemeClr val="tx1">
                <a:lumMod val="95000"/>
                <a:lumOff val="5000"/>
              </a:schemeClr>
            </a:solidFill>
            <a:ln>
              <a:noFill/>
            </a:ln>
            <a:effectLst/>
          </c:spPr>
          <c:invertIfNegative val="0"/>
          <c:cat>
            <c:strRef>
              <c:f>Sheet1!$A$2:$A$18</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Sheet1!$B$2:$B$18</c:f>
              <c:numCache>
                <c:formatCode>General</c:formatCode>
                <c:ptCount val="17"/>
              </c:numCache>
            </c:numRef>
          </c:val>
        </c:ser>
        <c:ser>
          <c:idx val="1"/>
          <c:order val="1"/>
          <c:tx>
            <c:strRef>
              <c:f>Sheet1!$C$1</c:f>
              <c:strCache>
                <c:ptCount val="1"/>
                <c:pt idx="0">
                  <c:v>Spindle oil</c:v>
                </c:pt>
              </c:strCache>
            </c:strRef>
          </c:tx>
          <c:spPr>
            <a:solidFill>
              <a:schemeClr val="accent1"/>
            </a:solidFill>
            <a:ln>
              <a:noFill/>
            </a:ln>
            <a:effectLst/>
          </c:spPr>
          <c:invertIfNegative val="0"/>
          <c:dPt>
            <c:idx val="0"/>
            <c:invertIfNegative val="0"/>
            <c:bubble3D val="0"/>
            <c:spPr>
              <a:solidFill>
                <a:schemeClr val="tx1"/>
              </a:solidFill>
              <a:ln>
                <a:noFill/>
              </a:ln>
              <a:effectLst/>
            </c:spPr>
          </c:dPt>
          <c:dPt>
            <c:idx val="2"/>
            <c:invertIfNegative val="0"/>
            <c:bubble3D val="0"/>
            <c:spPr>
              <a:solidFill>
                <a:srgbClr val="C00000"/>
              </a:solidFill>
              <a:ln>
                <a:noFill/>
              </a:ln>
              <a:effectLst/>
            </c:spPr>
          </c:dPt>
          <c:dPt>
            <c:idx val="3"/>
            <c:invertIfNegative val="0"/>
            <c:bubble3D val="0"/>
            <c:spPr>
              <a:solidFill>
                <a:srgbClr val="C00000"/>
              </a:solidFill>
              <a:ln>
                <a:noFill/>
              </a:ln>
              <a:effectLst/>
            </c:spPr>
          </c:dPt>
          <c:dPt>
            <c:idx val="4"/>
            <c:invertIfNegative val="0"/>
            <c:bubble3D val="0"/>
            <c:spPr>
              <a:solidFill>
                <a:srgbClr val="C00000"/>
              </a:solidFill>
              <a:ln>
                <a:noFill/>
              </a:ln>
              <a:effectLst/>
            </c:spPr>
          </c:dPt>
          <c:dPt>
            <c:idx val="5"/>
            <c:invertIfNegative val="0"/>
            <c:bubble3D val="0"/>
            <c:spPr>
              <a:solidFill>
                <a:srgbClr val="C00000"/>
              </a:solidFill>
              <a:ln>
                <a:noFill/>
              </a:ln>
              <a:effectLst/>
            </c:spPr>
          </c:dPt>
          <c:dPt>
            <c:idx val="6"/>
            <c:invertIfNegative val="0"/>
            <c:bubble3D val="0"/>
            <c:spPr>
              <a:solidFill>
                <a:srgbClr val="C00000"/>
              </a:solidFill>
              <a:ln>
                <a:noFill/>
              </a:ln>
              <a:effectLst/>
            </c:spPr>
          </c:dPt>
          <c:dPt>
            <c:idx val="7"/>
            <c:invertIfNegative val="0"/>
            <c:bubble3D val="0"/>
            <c:spPr>
              <a:solidFill>
                <a:srgbClr val="C00000"/>
              </a:solidFill>
              <a:ln>
                <a:noFill/>
              </a:ln>
              <a:effectLst/>
            </c:spPr>
          </c:dPt>
          <c:dPt>
            <c:idx val="8"/>
            <c:invertIfNegative val="0"/>
            <c:bubble3D val="0"/>
            <c:spPr>
              <a:solidFill>
                <a:srgbClr val="C00000"/>
              </a:solidFill>
              <a:ln>
                <a:noFill/>
              </a:ln>
              <a:effectLst/>
            </c:spPr>
          </c:dPt>
          <c:dPt>
            <c:idx val="9"/>
            <c:invertIfNegative val="0"/>
            <c:bubble3D val="0"/>
            <c:spPr>
              <a:solidFill>
                <a:srgbClr val="C00000"/>
              </a:solidFill>
              <a:ln>
                <a:noFill/>
              </a:ln>
              <a:effectLst/>
            </c:spPr>
          </c:dPt>
          <c:dPt>
            <c:idx val="10"/>
            <c:invertIfNegative val="0"/>
            <c:bubble3D val="0"/>
            <c:spPr>
              <a:solidFill>
                <a:srgbClr val="C00000"/>
              </a:solidFill>
              <a:ln>
                <a:noFill/>
              </a:ln>
              <a:effectLst/>
            </c:spPr>
          </c:dPt>
          <c:dPt>
            <c:idx val="11"/>
            <c:invertIfNegative val="0"/>
            <c:bubble3D val="0"/>
            <c:spPr>
              <a:solidFill>
                <a:srgbClr val="C00000"/>
              </a:solidFill>
              <a:ln>
                <a:noFill/>
              </a:ln>
              <a:effectLst/>
            </c:spPr>
          </c:dPt>
          <c:dPt>
            <c:idx val="12"/>
            <c:invertIfNegative val="0"/>
            <c:bubble3D val="0"/>
            <c:spPr>
              <a:solidFill>
                <a:srgbClr val="C00000"/>
              </a:solidFill>
              <a:ln>
                <a:noFill/>
              </a:ln>
              <a:effectLst/>
            </c:spPr>
          </c:dPt>
          <c:dPt>
            <c:idx val="13"/>
            <c:invertIfNegative val="0"/>
            <c:bubble3D val="0"/>
            <c:spPr>
              <a:solidFill>
                <a:srgbClr val="C00000"/>
              </a:solidFill>
              <a:ln>
                <a:noFill/>
              </a:ln>
              <a:effectLst/>
            </c:spPr>
          </c:dPt>
          <c:dPt>
            <c:idx val="14"/>
            <c:invertIfNegative val="0"/>
            <c:bubble3D val="0"/>
            <c:spPr>
              <a:solidFill>
                <a:srgbClr val="C00000"/>
              </a:solidFill>
              <a:ln>
                <a:noFill/>
              </a:ln>
              <a:effectLst/>
            </c:spPr>
          </c:dPt>
          <c:dPt>
            <c:idx val="15"/>
            <c:invertIfNegative val="0"/>
            <c:bubble3D val="0"/>
            <c:spPr>
              <a:solidFill>
                <a:srgbClr val="C00000"/>
              </a:solidFill>
              <a:ln>
                <a:noFill/>
              </a:ln>
              <a:effectLst/>
            </c:spPr>
          </c:dPt>
          <c:dPt>
            <c:idx val="16"/>
            <c:invertIfNegative val="0"/>
            <c:bubble3D val="0"/>
            <c:spPr>
              <a:solidFill>
                <a:srgbClr val="C00000"/>
              </a:solidFill>
              <a:ln>
                <a:noFill/>
              </a:ln>
              <a:effectLst/>
            </c:spPr>
          </c:dPt>
          <c:cat>
            <c:strRef>
              <c:f>Sheet1!$A$2:$A$18</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Sheet1!$C$2:$C$18</c:f>
              <c:numCache>
                <c:formatCode>General</c:formatCode>
                <c:ptCount val="17"/>
                <c:pt idx="0">
                  <c:v>27.6</c:v>
                </c:pt>
                <c:pt idx="1">
                  <c:v>108.5</c:v>
                </c:pt>
                <c:pt idx="2">
                  <c:v>104.6</c:v>
                </c:pt>
                <c:pt idx="3">
                  <c:v>102.9</c:v>
                </c:pt>
                <c:pt idx="4">
                  <c:v>103.3</c:v>
                </c:pt>
                <c:pt idx="5">
                  <c:v>101.8</c:v>
                </c:pt>
                <c:pt idx="6">
                  <c:v>102.1</c:v>
                </c:pt>
                <c:pt idx="7">
                  <c:v>100.3</c:v>
                </c:pt>
                <c:pt idx="8">
                  <c:v>75.599999999999994</c:v>
                </c:pt>
                <c:pt idx="9">
                  <c:v>72.3</c:v>
                </c:pt>
                <c:pt idx="10">
                  <c:v>69.7</c:v>
                </c:pt>
                <c:pt idx="11">
                  <c:v>65</c:v>
                </c:pt>
                <c:pt idx="12">
                  <c:v>62.1</c:v>
                </c:pt>
                <c:pt idx="13">
                  <c:v>40.799999999999997</c:v>
                </c:pt>
                <c:pt idx="14">
                  <c:v>27.3</c:v>
                </c:pt>
                <c:pt idx="15">
                  <c:v>26.8</c:v>
                </c:pt>
                <c:pt idx="16">
                  <c:v>26.5</c:v>
                </c:pt>
              </c:numCache>
            </c:numRef>
          </c:val>
        </c:ser>
        <c:ser>
          <c:idx val="2"/>
          <c:order val="2"/>
          <c:tx>
            <c:strRef>
              <c:f>Sheet1!$D$1</c:f>
              <c:strCache>
                <c:ptCount val="1"/>
                <c:pt idx="0">
                  <c:v>After Acid/clay Treatment</c:v>
                </c:pt>
              </c:strCache>
            </c:strRef>
          </c:tx>
          <c:spPr>
            <a:solidFill>
              <a:srgbClr val="C00000"/>
            </a:solidFill>
            <a:ln>
              <a:noFill/>
            </a:ln>
            <a:effectLst/>
          </c:spPr>
          <c:invertIfNegative val="0"/>
          <c:dPt>
            <c:idx val="0"/>
            <c:invertIfNegative val="0"/>
            <c:bubble3D val="0"/>
            <c:spPr>
              <a:solidFill>
                <a:schemeClr val="tx1">
                  <a:lumMod val="95000"/>
                  <a:lumOff val="5000"/>
                </a:schemeClr>
              </a:solidFill>
              <a:ln>
                <a:noFill/>
              </a:ln>
              <a:effectLst/>
            </c:spPr>
          </c:dPt>
          <c:cat>
            <c:strRef>
              <c:f>Sheet1!$A$2:$A$18</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Sheet1!$D$2:$D$18</c:f>
              <c:numCache>
                <c:formatCode>General</c:formatCode>
                <c:ptCount val="17"/>
              </c:numCache>
            </c:numRef>
          </c:val>
        </c:ser>
        <c:dLbls>
          <c:showLegendKey val="0"/>
          <c:showVal val="0"/>
          <c:showCatName val="0"/>
          <c:showSerName val="0"/>
          <c:showPercent val="0"/>
          <c:showBubbleSize val="0"/>
        </c:dLbls>
        <c:gapWidth val="150"/>
        <c:overlap val="35"/>
        <c:axId val="68543616"/>
        <c:axId val="68545152"/>
      </c:barChart>
      <c:catAx>
        <c:axId val="6854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0"/>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8545152"/>
        <c:crosses val="autoZero"/>
        <c:auto val="1"/>
        <c:lblAlgn val="ctr"/>
        <c:lblOffset val="100"/>
        <c:noMultiLvlLbl val="0"/>
      </c:catAx>
      <c:valAx>
        <c:axId val="68545152"/>
        <c:scaling>
          <c:orientation val="minMax"/>
          <c:max val="1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8543616"/>
        <c:crosses val="autoZero"/>
        <c:crossBetween val="between"/>
        <c:majorUnit val="10"/>
      </c:valAx>
      <c:spPr>
        <a:noFill/>
        <a:ln>
          <a:noFill/>
        </a:ln>
        <a:effectLst/>
      </c:spPr>
    </c:plotArea>
    <c:legend>
      <c:legendPos val="b"/>
      <c:layout>
        <c:manualLayout>
          <c:xMode val="edge"/>
          <c:yMode val="edge"/>
          <c:x val="9.9151530853002997E-4"/>
          <c:y val="0.84457369997023168"/>
          <c:w val="0.98103949047142092"/>
          <c:h val="0.1141965760580891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Imported Oil</c:v>
                </c:pt>
              </c:strCache>
            </c:strRef>
          </c:tx>
          <c:spPr>
            <a:solidFill>
              <a:schemeClr val="tx1">
                <a:lumMod val="95000"/>
                <a:lumOff val="5000"/>
              </a:schemeClr>
            </a:solidFill>
            <a:ln>
              <a:noFill/>
            </a:ln>
            <a:effectLst/>
          </c:spPr>
          <c:invertIfNegative val="0"/>
          <c:cat>
            <c:strRef>
              <c:f>Sheet1!$A$2:$A$19</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Sheet1!$B$2:$B$19</c:f>
              <c:numCache>
                <c:formatCode>General</c:formatCode>
                <c:ptCount val="18"/>
              </c:numCache>
            </c:numRef>
          </c:val>
        </c:ser>
        <c:ser>
          <c:idx val="1"/>
          <c:order val="1"/>
          <c:tx>
            <c:strRef>
              <c:f>Sheet1!$C$1</c:f>
              <c:strCache>
                <c:ptCount val="1"/>
                <c:pt idx="0">
                  <c:v>Spindle oil</c:v>
                </c:pt>
              </c:strCache>
            </c:strRef>
          </c:tx>
          <c:spPr>
            <a:solidFill>
              <a:schemeClr val="accent2">
                <a:lumMod val="60000"/>
                <a:lumOff val="40000"/>
              </a:schemeClr>
            </a:solidFill>
            <a:ln>
              <a:noFill/>
            </a:ln>
            <a:effectLst/>
          </c:spPr>
          <c:invertIfNegative val="0"/>
          <c:dPt>
            <c:idx val="0"/>
            <c:invertIfNegative val="0"/>
            <c:bubble3D val="0"/>
            <c:spPr>
              <a:solidFill>
                <a:schemeClr val="tx1"/>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3"/>
              </a:solidFill>
              <a:ln>
                <a:noFill/>
              </a:ln>
              <a:effectLst/>
            </c:spPr>
          </c:dPt>
          <c:dPt>
            <c:idx val="4"/>
            <c:invertIfNegative val="0"/>
            <c:bubble3D val="0"/>
            <c:spPr>
              <a:solidFill>
                <a:schemeClr val="accent3"/>
              </a:solidFill>
              <a:ln>
                <a:noFill/>
              </a:ln>
              <a:effectLst/>
            </c:spPr>
          </c:dPt>
          <c:dPt>
            <c:idx val="5"/>
            <c:invertIfNegative val="0"/>
            <c:bubble3D val="0"/>
            <c:spPr>
              <a:solidFill>
                <a:schemeClr val="accent3"/>
              </a:solidFill>
              <a:ln>
                <a:noFill/>
              </a:ln>
              <a:effectLst/>
            </c:spPr>
          </c:dPt>
          <c:dPt>
            <c:idx val="6"/>
            <c:invertIfNegative val="0"/>
            <c:bubble3D val="0"/>
            <c:spPr>
              <a:solidFill>
                <a:schemeClr val="accent3"/>
              </a:solidFill>
              <a:ln>
                <a:noFill/>
              </a:ln>
              <a:effectLst/>
            </c:spPr>
          </c:dPt>
          <c:dPt>
            <c:idx val="7"/>
            <c:invertIfNegative val="0"/>
            <c:bubble3D val="0"/>
            <c:spPr>
              <a:solidFill>
                <a:schemeClr val="accent3"/>
              </a:solidFill>
              <a:ln>
                <a:noFill/>
              </a:ln>
              <a:effectLst/>
            </c:spPr>
          </c:dPt>
          <c:dPt>
            <c:idx val="8"/>
            <c:invertIfNegative val="0"/>
            <c:bubble3D val="0"/>
            <c:spPr>
              <a:solidFill>
                <a:schemeClr val="accent3"/>
              </a:solidFill>
              <a:ln>
                <a:noFill/>
              </a:ln>
              <a:effectLst/>
            </c:spPr>
          </c:dPt>
          <c:dPt>
            <c:idx val="9"/>
            <c:invertIfNegative val="0"/>
            <c:bubble3D val="0"/>
            <c:spPr>
              <a:solidFill>
                <a:schemeClr val="accent3"/>
              </a:solidFill>
              <a:ln>
                <a:noFill/>
              </a:ln>
              <a:effectLst/>
            </c:spPr>
          </c:dPt>
          <c:dPt>
            <c:idx val="10"/>
            <c:invertIfNegative val="0"/>
            <c:bubble3D val="0"/>
            <c:spPr>
              <a:solidFill>
                <a:schemeClr val="accent3"/>
              </a:solidFill>
              <a:ln>
                <a:noFill/>
              </a:ln>
              <a:effectLst/>
            </c:spPr>
          </c:dPt>
          <c:dPt>
            <c:idx val="11"/>
            <c:invertIfNegative val="0"/>
            <c:bubble3D val="0"/>
            <c:spPr>
              <a:solidFill>
                <a:schemeClr val="accent3"/>
              </a:solidFill>
              <a:ln>
                <a:noFill/>
              </a:ln>
              <a:effectLst/>
            </c:spPr>
          </c:dPt>
          <c:dPt>
            <c:idx val="12"/>
            <c:invertIfNegative val="0"/>
            <c:bubble3D val="0"/>
            <c:spPr>
              <a:solidFill>
                <a:schemeClr val="accent3"/>
              </a:solidFill>
              <a:ln>
                <a:noFill/>
              </a:ln>
              <a:effectLst/>
            </c:spPr>
          </c:dPt>
          <c:dPt>
            <c:idx val="13"/>
            <c:invertIfNegative val="0"/>
            <c:bubble3D val="0"/>
            <c:spPr>
              <a:solidFill>
                <a:schemeClr val="accent3"/>
              </a:solidFill>
              <a:ln>
                <a:noFill/>
              </a:ln>
              <a:effectLst/>
            </c:spPr>
          </c:dPt>
          <c:dPt>
            <c:idx val="14"/>
            <c:invertIfNegative val="0"/>
            <c:bubble3D val="0"/>
            <c:spPr>
              <a:solidFill>
                <a:schemeClr val="accent3"/>
              </a:solidFill>
              <a:ln>
                <a:noFill/>
              </a:ln>
              <a:effectLst/>
            </c:spPr>
          </c:dPt>
          <c:dPt>
            <c:idx val="15"/>
            <c:invertIfNegative val="0"/>
            <c:bubble3D val="0"/>
            <c:spPr>
              <a:solidFill>
                <a:schemeClr val="accent3"/>
              </a:solidFill>
              <a:ln>
                <a:noFill/>
              </a:ln>
              <a:effectLst/>
            </c:spPr>
          </c:dPt>
          <c:dPt>
            <c:idx val="16"/>
            <c:invertIfNegative val="0"/>
            <c:bubble3D val="0"/>
            <c:spPr>
              <a:solidFill>
                <a:schemeClr val="accent3"/>
              </a:solidFill>
              <a:ln>
                <a:noFill/>
              </a:ln>
              <a:effectLst/>
            </c:spPr>
          </c:dPt>
          <c:cat>
            <c:strRef>
              <c:f>Sheet1!$A$2:$A$19</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Sheet1!$C$2:$C$19</c:f>
              <c:numCache>
                <c:formatCode>General</c:formatCode>
                <c:ptCount val="18"/>
                <c:pt idx="0">
                  <c:v>2.5000000000000027E-3</c:v>
                </c:pt>
                <c:pt idx="1">
                  <c:v>1.4200000000000001E-2</c:v>
                </c:pt>
                <c:pt idx="2">
                  <c:v>104.6</c:v>
                </c:pt>
                <c:pt idx="3">
                  <c:v>1.3299999999999998E-2</c:v>
                </c:pt>
                <c:pt idx="4">
                  <c:v>1.3899999999999999E-2</c:v>
                </c:pt>
                <c:pt idx="5">
                  <c:v>1.3299999999999998E-2</c:v>
                </c:pt>
                <c:pt idx="6">
                  <c:v>1.2999999999999998E-2</c:v>
                </c:pt>
                <c:pt idx="7">
                  <c:v>1.2500000000000001E-2</c:v>
                </c:pt>
                <c:pt idx="8">
                  <c:v>1.0999999999999998E-2</c:v>
                </c:pt>
                <c:pt idx="9">
                  <c:v>1.0600000000000012E-2</c:v>
                </c:pt>
                <c:pt idx="10">
                  <c:v>9.6000000000000026E-3</c:v>
                </c:pt>
                <c:pt idx="11">
                  <c:v>7.2000000000000076E-3</c:v>
                </c:pt>
                <c:pt idx="12">
                  <c:v>6.5000000000000075E-3</c:v>
                </c:pt>
                <c:pt idx="13">
                  <c:v>3.2000000000000032E-3</c:v>
                </c:pt>
                <c:pt idx="14">
                  <c:v>2.3999999999999998E-3</c:v>
                </c:pt>
                <c:pt idx="15">
                  <c:v>2.2000000000000032E-3</c:v>
                </c:pt>
                <c:pt idx="16">
                  <c:v>2.0000000000000026E-3</c:v>
                </c:pt>
              </c:numCache>
            </c:numRef>
          </c:val>
        </c:ser>
        <c:ser>
          <c:idx val="2"/>
          <c:order val="2"/>
          <c:tx>
            <c:strRef>
              <c:f>Sheet1!$D$1</c:f>
              <c:strCache>
                <c:ptCount val="1"/>
                <c:pt idx="0">
                  <c:v>After Acid/clay Treatment</c:v>
                </c:pt>
              </c:strCache>
            </c:strRef>
          </c:tx>
          <c:spPr>
            <a:solidFill>
              <a:schemeClr val="accent3"/>
            </a:solidFill>
            <a:ln>
              <a:noFill/>
            </a:ln>
            <a:effectLst/>
          </c:spPr>
          <c:invertIfNegative val="0"/>
          <c:cat>
            <c:strRef>
              <c:f>Sheet1!$A$2:$A$19</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Sheet1!$D$2:$D$19</c:f>
              <c:numCache>
                <c:formatCode>General</c:formatCode>
                <c:ptCount val="18"/>
              </c:numCache>
            </c:numRef>
          </c:val>
        </c:ser>
        <c:dLbls>
          <c:showLegendKey val="0"/>
          <c:showVal val="0"/>
          <c:showCatName val="0"/>
          <c:showSerName val="0"/>
          <c:showPercent val="0"/>
          <c:showBubbleSize val="0"/>
        </c:dLbls>
        <c:gapWidth val="150"/>
        <c:overlap val="35"/>
        <c:axId val="70379776"/>
        <c:axId val="78209024"/>
      </c:barChart>
      <c:catAx>
        <c:axId val="7037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800" b="1" i="0" u="none" strike="noStrike" kern="1200" baseline="0">
                <a:solidFill>
                  <a:schemeClr val="tx1"/>
                </a:solidFill>
                <a:latin typeface="+mn-lt"/>
                <a:ea typeface="+mn-ea"/>
                <a:cs typeface="+mn-cs"/>
              </a:defRPr>
            </a:pPr>
            <a:endParaRPr lang="en-US"/>
          </a:p>
        </c:txPr>
        <c:crossAx val="78209024"/>
        <c:crosses val="autoZero"/>
        <c:auto val="1"/>
        <c:lblAlgn val="ctr"/>
        <c:lblOffset val="100"/>
        <c:noMultiLvlLbl val="0"/>
      </c:catAx>
      <c:valAx>
        <c:axId val="78209024"/>
        <c:scaling>
          <c:orientation val="minMax"/>
          <c:max val="1.6000000000000021E-2"/>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79776"/>
        <c:crosses val="autoZero"/>
        <c:crossBetween val="between"/>
        <c:majorUnit val="2.0000000000000052E-3"/>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Imported Oil</c:v>
                </c:pt>
              </c:strCache>
            </c:strRef>
          </c:tx>
          <c:spPr>
            <a:solidFill>
              <a:schemeClr val="tx1">
                <a:lumMod val="95000"/>
                <a:lumOff val="5000"/>
              </a:schemeClr>
            </a:solidFill>
            <a:ln>
              <a:noFill/>
            </a:ln>
            <a:effectLst/>
          </c:spPr>
          <c:invertIfNegative val="0"/>
          <c:cat>
            <c:strRef>
              <c:f>Sheet1!$A$2:$A$18</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Sheet1!$B$2:$B$18</c:f>
              <c:numCache>
                <c:formatCode>General</c:formatCode>
                <c:ptCount val="17"/>
              </c:numCache>
            </c:numRef>
          </c:val>
        </c:ser>
        <c:ser>
          <c:idx val="1"/>
          <c:order val="1"/>
          <c:tx>
            <c:strRef>
              <c:f>Sheet1!$C$1</c:f>
              <c:strCache>
                <c:ptCount val="1"/>
                <c:pt idx="0">
                  <c:v>Spindle oil</c:v>
                </c:pt>
              </c:strCache>
            </c:strRef>
          </c:tx>
          <c:spPr>
            <a:solidFill>
              <a:schemeClr val="accent4">
                <a:lumMod val="75000"/>
              </a:schemeClr>
            </a:solidFill>
            <a:ln>
              <a:noFill/>
            </a:ln>
            <a:effectLst/>
          </c:spPr>
          <c:invertIfNegative val="0"/>
          <c:dPt>
            <c:idx val="2"/>
            <c:invertIfNegative val="0"/>
            <c:bubble3D val="0"/>
            <c:spPr>
              <a:solidFill>
                <a:schemeClr val="accent6">
                  <a:lumMod val="75000"/>
                </a:schemeClr>
              </a:solidFill>
              <a:ln>
                <a:noFill/>
              </a:ln>
              <a:effectLst/>
            </c:spPr>
          </c:dPt>
          <c:dPt>
            <c:idx val="3"/>
            <c:invertIfNegative val="0"/>
            <c:bubble3D val="0"/>
            <c:spPr>
              <a:solidFill>
                <a:schemeClr val="accent6">
                  <a:lumMod val="75000"/>
                </a:schemeClr>
              </a:solidFill>
              <a:ln>
                <a:noFill/>
              </a:ln>
              <a:effectLst/>
            </c:spPr>
          </c:dPt>
          <c:dPt>
            <c:idx val="4"/>
            <c:invertIfNegative val="0"/>
            <c:bubble3D val="0"/>
            <c:spPr>
              <a:solidFill>
                <a:schemeClr val="accent6">
                  <a:lumMod val="75000"/>
                </a:schemeClr>
              </a:solidFill>
              <a:ln>
                <a:noFill/>
              </a:ln>
              <a:effectLst/>
            </c:spPr>
          </c:dPt>
          <c:dPt>
            <c:idx val="5"/>
            <c:invertIfNegative val="0"/>
            <c:bubble3D val="0"/>
            <c:spPr>
              <a:solidFill>
                <a:schemeClr val="accent6">
                  <a:lumMod val="75000"/>
                </a:schemeClr>
              </a:solidFill>
              <a:ln>
                <a:noFill/>
              </a:ln>
              <a:effectLst/>
            </c:spPr>
          </c:dPt>
          <c:dPt>
            <c:idx val="6"/>
            <c:invertIfNegative val="0"/>
            <c:bubble3D val="0"/>
            <c:spPr>
              <a:solidFill>
                <a:schemeClr val="accent6">
                  <a:lumMod val="75000"/>
                </a:schemeClr>
              </a:solidFill>
              <a:ln>
                <a:noFill/>
              </a:ln>
              <a:effectLst/>
            </c:spPr>
          </c:dPt>
          <c:dPt>
            <c:idx val="7"/>
            <c:invertIfNegative val="0"/>
            <c:bubble3D val="0"/>
            <c:spPr>
              <a:solidFill>
                <a:schemeClr val="accent6">
                  <a:lumMod val="75000"/>
                </a:schemeClr>
              </a:solidFill>
              <a:ln>
                <a:noFill/>
              </a:ln>
              <a:effectLst/>
            </c:spPr>
          </c:dPt>
          <c:dPt>
            <c:idx val="8"/>
            <c:invertIfNegative val="0"/>
            <c:bubble3D val="0"/>
            <c:spPr>
              <a:solidFill>
                <a:schemeClr val="accent6">
                  <a:lumMod val="75000"/>
                </a:schemeClr>
              </a:solidFill>
              <a:ln>
                <a:noFill/>
              </a:ln>
              <a:effectLst/>
            </c:spPr>
          </c:dPt>
          <c:dPt>
            <c:idx val="9"/>
            <c:invertIfNegative val="0"/>
            <c:bubble3D val="0"/>
            <c:spPr>
              <a:solidFill>
                <a:schemeClr val="accent6">
                  <a:lumMod val="75000"/>
                </a:schemeClr>
              </a:solidFill>
              <a:ln>
                <a:noFill/>
              </a:ln>
              <a:effectLst/>
            </c:spPr>
          </c:dPt>
          <c:dPt>
            <c:idx val="10"/>
            <c:invertIfNegative val="0"/>
            <c:bubble3D val="0"/>
            <c:spPr>
              <a:solidFill>
                <a:schemeClr val="accent6">
                  <a:lumMod val="75000"/>
                </a:schemeClr>
              </a:solidFill>
              <a:ln>
                <a:noFill/>
              </a:ln>
              <a:effectLst/>
            </c:spPr>
          </c:dPt>
          <c:dPt>
            <c:idx val="11"/>
            <c:invertIfNegative val="0"/>
            <c:bubble3D val="0"/>
            <c:spPr>
              <a:solidFill>
                <a:schemeClr val="accent6">
                  <a:lumMod val="75000"/>
                </a:schemeClr>
              </a:solidFill>
              <a:ln>
                <a:noFill/>
              </a:ln>
              <a:effectLst/>
            </c:spPr>
          </c:dPt>
          <c:dPt>
            <c:idx val="12"/>
            <c:invertIfNegative val="0"/>
            <c:bubble3D val="0"/>
            <c:spPr>
              <a:solidFill>
                <a:schemeClr val="accent6">
                  <a:lumMod val="75000"/>
                </a:schemeClr>
              </a:solidFill>
              <a:ln>
                <a:noFill/>
              </a:ln>
              <a:effectLst/>
            </c:spPr>
          </c:dPt>
          <c:dPt>
            <c:idx val="13"/>
            <c:invertIfNegative val="0"/>
            <c:bubble3D val="0"/>
            <c:spPr>
              <a:solidFill>
                <a:schemeClr val="accent6">
                  <a:lumMod val="75000"/>
                </a:schemeClr>
              </a:solidFill>
              <a:ln>
                <a:noFill/>
              </a:ln>
              <a:effectLst/>
            </c:spPr>
          </c:dPt>
          <c:dPt>
            <c:idx val="14"/>
            <c:invertIfNegative val="0"/>
            <c:bubble3D val="0"/>
            <c:spPr>
              <a:solidFill>
                <a:schemeClr val="accent6">
                  <a:lumMod val="75000"/>
                </a:schemeClr>
              </a:solidFill>
              <a:ln>
                <a:noFill/>
              </a:ln>
              <a:effectLst/>
            </c:spPr>
          </c:dPt>
          <c:dPt>
            <c:idx val="15"/>
            <c:invertIfNegative val="0"/>
            <c:bubble3D val="0"/>
            <c:spPr>
              <a:solidFill>
                <a:schemeClr val="accent6">
                  <a:lumMod val="75000"/>
                </a:schemeClr>
              </a:solidFill>
              <a:ln>
                <a:noFill/>
              </a:ln>
              <a:effectLst/>
            </c:spPr>
          </c:dPt>
          <c:dPt>
            <c:idx val="16"/>
            <c:invertIfNegative val="0"/>
            <c:bubble3D val="0"/>
            <c:spPr>
              <a:solidFill>
                <a:schemeClr val="accent6">
                  <a:lumMod val="75000"/>
                </a:schemeClr>
              </a:solidFill>
              <a:ln>
                <a:noFill/>
              </a:ln>
              <a:effectLst/>
            </c:spPr>
          </c:dPt>
          <c:cat>
            <c:strRef>
              <c:f>Sheet1!$A$2:$A$18</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Sheet1!$C$2:$C$18</c:f>
              <c:numCache>
                <c:formatCode>General</c:formatCode>
                <c:ptCount val="17"/>
                <c:pt idx="0">
                  <c:v>8.9000000000000138E-3</c:v>
                </c:pt>
                <c:pt idx="1">
                  <c:v>7.5300000000000034E-2</c:v>
                </c:pt>
                <c:pt idx="2">
                  <c:v>0.1018</c:v>
                </c:pt>
                <c:pt idx="3">
                  <c:v>9.3300000000000063E-2</c:v>
                </c:pt>
                <c:pt idx="4">
                  <c:v>0.11</c:v>
                </c:pt>
                <c:pt idx="5">
                  <c:v>8.3200000000000024E-2</c:v>
                </c:pt>
                <c:pt idx="6">
                  <c:v>0.11559999999999998</c:v>
                </c:pt>
                <c:pt idx="7">
                  <c:v>8.910000000000004E-2</c:v>
                </c:pt>
                <c:pt idx="8">
                  <c:v>0.12100000000000002</c:v>
                </c:pt>
                <c:pt idx="9">
                  <c:v>7.4100000000000013E-2</c:v>
                </c:pt>
                <c:pt idx="10">
                  <c:v>5.3000000000000012E-2</c:v>
                </c:pt>
                <c:pt idx="11">
                  <c:v>3.2199999999999999E-2</c:v>
                </c:pt>
                <c:pt idx="12">
                  <c:v>1.3800000000000019E-2</c:v>
                </c:pt>
                <c:pt idx="13">
                  <c:v>9.6000000000000026E-3</c:v>
                </c:pt>
                <c:pt idx="14">
                  <c:v>8.5000000000000006E-3</c:v>
                </c:pt>
                <c:pt idx="15">
                  <c:v>7.9000000000000112E-3</c:v>
                </c:pt>
                <c:pt idx="16">
                  <c:v>7.5000000000000093E-3</c:v>
                </c:pt>
              </c:numCache>
            </c:numRef>
          </c:val>
        </c:ser>
        <c:ser>
          <c:idx val="2"/>
          <c:order val="2"/>
          <c:tx>
            <c:strRef>
              <c:f>Sheet1!$D$1</c:f>
              <c:strCache>
                <c:ptCount val="1"/>
                <c:pt idx="0">
                  <c:v>After Acid/clay Treatment</c:v>
                </c:pt>
              </c:strCache>
            </c:strRef>
          </c:tx>
          <c:spPr>
            <a:solidFill>
              <a:schemeClr val="accent6">
                <a:lumMod val="75000"/>
              </a:schemeClr>
            </a:solidFill>
            <a:ln>
              <a:noFill/>
            </a:ln>
            <a:effectLst/>
          </c:spPr>
          <c:invertIfNegative val="0"/>
          <c:cat>
            <c:strRef>
              <c:f>Sheet1!$A$2:$A$18</c:f>
              <c:strCache>
                <c:ptCount val="17"/>
                <c:pt idx="0">
                  <c:v>G II</c:v>
                </c:pt>
                <c:pt idx="1">
                  <c:v>G I</c:v>
                </c:pt>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strCache>
            </c:strRef>
          </c:cat>
          <c:val>
            <c:numRef>
              <c:f>Sheet1!$D$2:$D$18</c:f>
              <c:numCache>
                <c:formatCode>General</c:formatCode>
                <c:ptCount val="17"/>
              </c:numCache>
            </c:numRef>
          </c:val>
        </c:ser>
        <c:dLbls>
          <c:showLegendKey val="0"/>
          <c:showVal val="0"/>
          <c:showCatName val="0"/>
          <c:showSerName val="0"/>
          <c:showPercent val="0"/>
          <c:showBubbleSize val="0"/>
        </c:dLbls>
        <c:gapWidth val="150"/>
        <c:overlap val="35"/>
        <c:axId val="78535680"/>
        <c:axId val="78549760"/>
      </c:barChart>
      <c:catAx>
        <c:axId val="7853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800" b="1" i="0" u="none" strike="noStrike" kern="1200" baseline="0">
                <a:solidFill>
                  <a:schemeClr val="tx1"/>
                </a:solidFill>
                <a:latin typeface="+mn-lt"/>
                <a:ea typeface="+mn-ea"/>
                <a:cs typeface="Times New Roman" panose="02020603050405020304" pitchFamily="18" charset="0"/>
              </a:defRPr>
            </a:pPr>
            <a:endParaRPr lang="en-US"/>
          </a:p>
        </c:txPr>
        <c:crossAx val="78549760"/>
        <c:crosses val="autoZero"/>
        <c:auto val="1"/>
        <c:lblAlgn val="ctr"/>
        <c:lblOffset val="100"/>
        <c:noMultiLvlLbl val="0"/>
      </c:catAx>
      <c:valAx>
        <c:axId val="78549760"/>
        <c:scaling>
          <c:orientation val="minMax"/>
          <c:max val="0.17"/>
          <c:min val="-1.0000000000000005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8535680"/>
        <c:crosses val="autoZero"/>
        <c:crossBetween val="between"/>
        <c:majorUnit val="2.0000000000000011E-2"/>
      </c:valAx>
      <c:spPr>
        <a:noFill/>
        <a:ln>
          <a:noFill/>
        </a:ln>
        <a:effectLst/>
      </c:spPr>
    </c:plotArea>
    <c:legend>
      <c:legendPos val="b"/>
      <c:layout>
        <c:manualLayout>
          <c:xMode val="edge"/>
          <c:yMode val="edge"/>
          <c:x val="2.2227362441722239E-2"/>
          <c:y val="0.83173943686137453"/>
          <c:w val="0.9314659168687468"/>
          <c:h val="0.1280326047075158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BF3B-E623-4254-A60A-50F28FB2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NED</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ak</cp:lastModifiedBy>
  <cp:revision>5</cp:revision>
  <dcterms:created xsi:type="dcterms:W3CDTF">2016-09-01T09:43:00Z</dcterms:created>
  <dcterms:modified xsi:type="dcterms:W3CDTF">2016-09-01T09:48:00Z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amtulq@neduet.edu.pk@www.mendeley.com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